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Default="00B83815" w:rsidP="00B83815">
      <w:pPr>
        <w:pStyle w:val="Prrafodelista"/>
        <w:spacing w:line="360" w:lineRule="auto"/>
        <w:ind w:left="426"/>
        <w:jc w:val="center"/>
        <w:rPr>
          <w:rFonts w:ascii="Arial Narrow" w:hAnsi="Arial Narrow"/>
          <w:sz w:val="96"/>
          <w:szCs w:val="96"/>
        </w:rPr>
      </w:pPr>
    </w:p>
    <w:p w:rsidR="00B83815" w:rsidRDefault="00B83815" w:rsidP="00B83815">
      <w:pPr>
        <w:pStyle w:val="Prrafodelista"/>
        <w:spacing w:line="360" w:lineRule="auto"/>
        <w:ind w:left="426"/>
        <w:jc w:val="center"/>
        <w:rPr>
          <w:rFonts w:ascii="Arial Narrow" w:hAnsi="Arial Narrow"/>
          <w:sz w:val="96"/>
          <w:szCs w:val="96"/>
        </w:rPr>
      </w:pPr>
    </w:p>
    <w:p w:rsidR="00B83815" w:rsidRPr="00992D26" w:rsidRDefault="00B83815" w:rsidP="00B83815">
      <w:pPr>
        <w:pStyle w:val="Prrafodelista"/>
        <w:spacing w:line="360" w:lineRule="auto"/>
        <w:ind w:left="426"/>
        <w:jc w:val="center"/>
        <w:rPr>
          <w:rFonts w:ascii="Arial Narrow" w:hAnsi="Arial Narrow"/>
          <w:sz w:val="72"/>
          <w:szCs w:val="72"/>
        </w:rPr>
      </w:pPr>
      <w:r w:rsidRPr="00992D26">
        <w:rPr>
          <w:rFonts w:ascii="Arial Narrow" w:hAnsi="Arial Narrow"/>
          <w:sz w:val="72"/>
          <w:szCs w:val="72"/>
        </w:rPr>
        <w:t>ANÁLISIS CUALITATIVO DE LOS INDICADORES DE LA POSTURA FISCAL</w:t>
      </w: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 ANÁLISIS CUALITATIVO DE LOS INDICADORES DE LA POSTURA FISCAL</w:t>
      </w:r>
    </w:p>
    <w:p w:rsidR="00B83815" w:rsidRPr="00992D26" w:rsidRDefault="00B83815" w:rsidP="00B83815">
      <w:pPr>
        <w:pStyle w:val="Sangradetextonormal"/>
        <w:spacing w:line="240" w:lineRule="auto"/>
        <w:ind w:firstLine="0"/>
        <w:jc w:val="left"/>
        <w:rPr>
          <w:rFonts w:ascii="Arial Narrow" w:hAnsi="Arial Narrow"/>
          <w:b/>
          <w:bCs/>
          <w:szCs w:val="28"/>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 PANORAMA ECONÓMICO Y POSTURA FISCAL</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esta sección se presenta un análisis del comportamiento de las finanzas públicas federales y locales, que refleja en forma sucinta y clara la situación general de la economía durante el ejercicio 2015, tanto a nivel nacional como estatal.</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Al respecto, se enlistan los objetivos, estrategias y metas de la política económica, continuando con una descripción de la evolución de las principales variables económicas: el producto interno bruto nacional, estatal y por sectores, empleo, inflación, tasas de interés, importaciones y exportaciones, entre otras.</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Así mismo, se señalan los objetivos, estrategias y metas de la política fiscal, así como las líneas de acción para el ejercicio que nos ocupa, reportando finalmente los resultados generales de las finanzas públicas federales y locales.</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 Ámbito Federal</w: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 xml:space="preserve">Los Criterios Generales de Política Económica para 2015 fueron emitidos por el Gobierno Federal teniendo previsto un entorno económico externo con signos de una recuperación moderada, pero que también presentaba algunos riesgos asociados a una posible mayor volatilidad de los mercados financieros y en el precio de algunas materias primas, destacando que durante el año anterior (2014) la actividad económica global experimentó un nivel de crecimiento que estuvo por debajo de las expectativas, notándose un bajo crecimiento de las economías avanzadas que impactó negativamente en el desempeño de las economías emergentes. </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 xml:space="preserve">No obstante lo descrito, se señaló un entorno externo alentador para 2015, estimándose que la actividad económica en los países avanzados sería el principal motor de crecimiento global, subrayándose una </w:t>
      </w:r>
      <w:r w:rsidRPr="00992D26">
        <w:rPr>
          <w:rFonts w:ascii="Arial Narrow" w:hAnsi="Arial Narrow"/>
          <w:sz w:val="22"/>
          <w:szCs w:val="22"/>
        </w:rPr>
        <w:lastRenderedPageBreak/>
        <w:t>situación favorable en el caso de México en virtud de su interconexión con los Estados Unidos de América, por sus sólidos fundamentos macroeconómicos, así como por haberse distinguido en el mundo por haber logrado el consenso político para llevar a cabo una agenda de profundas reformas estructurales que le permitirán incrementar su crecimiento de manera sostenida.</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este sentido, se pronosticó el aceleramiento de las exportaciones no petroleras de nuestro país, lo que se traduciría en una mayor producción de manufacturas y el acrecentamiento de los servicios más relacionados con el comercio exterior, proyectándose, por otro lado, un fortalecimiento de la demanda interna que se vería impulsada por el crecimiento del empleo formal y del crédito a las empresas y hogares, así como por un aumento en la inversión pública y en el salario real, estimándose además una expansión en los sectores de la construcción y los servicios menos conectados con el sector externo.</w: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2.1.1.1- Política Económica</w:t>
      </w:r>
    </w:p>
    <w:p w:rsidR="00B83815" w:rsidRPr="00992D26" w:rsidRDefault="00B83815" w:rsidP="00B83815">
      <w:pPr>
        <w:pStyle w:val="Sangradetextonormal"/>
        <w:spacing w:line="240" w:lineRule="exact"/>
        <w:ind w:firstLine="0"/>
        <w:jc w:val="left"/>
        <w:rPr>
          <w:rFonts w:ascii="Arial Narrow" w:hAnsi="Arial Narrow"/>
          <w:b/>
          <w:bCs/>
          <w:szCs w:val="28"/>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Objetivos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 xml:space="preserve">La Administración encabezada por el Titular del Poder Ejecutivo Federal está comprometida con preservar y fortalecer la solidez estructural de la hacienda pública nacional, buscando el logro de un mayor nivel de crecimiento económico a partir de una agenda de cambio estructural y de medidas específicas que apuntalen dicho crecimiento, subrayando el compromiso que se tiene actualmente con la estabilidad macroeconómica, como prerrequisito fundamental para el desarrollo nacional y el incremento en el bienestar de las familias. </w:t>
      </w:r>
    </w:p>
    <w:p w:rsidR="00B83815" w:rsidRPr="00992D26" w:rsidRDefault="00B83815" w:rsidP="00B83815">
      <w:pPr>
        <w:pStyle w:val="Sangradetextonormal"/>
        <w:spacing w:line="240" w:lineRule="exact"/>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este sentido, en la formulación del Paquete Económico correspondiente al Ejercicio Fiscal 2015, la Secretaría de Hacienda y Crédito Público (SHCP) sostuvo que se busca dinamizar la actividad económica, apoyar a la población más vulnerable y acelerar la implementación de las reformas estructurales, con el propósito fundamental de incrementar el indicador más importante que debe tener la política económica: un mayor bienestar para las familias mexicanas.</w:t>
      </w:r>
    </w:p>
    <w:p w:rsidR="00B83815" w:rsidRPr="00992D26" w:rsidRDefault="00B83815" w:rsidP="00B83815">
      <w:pPr>
        <w:pStyle w:val="Sangradetextonormal"/>
        <w:spacing w:line="240" w:lineRule="exact"/>
        <w:rPr>
          <w:rFonts w:ascii="Arial Narrow" w:hAnsi="Arial Narrow"/>
          <w:b/>
          <w:bCs/>
          <w:sz w:val="32"/>
          <w:szCs w:val="32"/>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lastRenderedPageBreak/>
        <w:t>Estrategias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Las estrategias implementadas por el Ejecutivo Federal en la materia, están orientadas a fortalecer los ingresos públicos de los tres órdenes de gobierno (federal, estatal y municipal), buscando que a través de la Reforma Hacendaria se resuelvan los retos y problemas que enfrenta nuestro país en cuanto al nivel reducido de ingresos públicos que ha limitado la capacidad de gasto del gobierno para atender las necesidades prioritarias de la población en áreas estratégicas como la seguridad social, salud, inversión e infraestructura, investigación y desarrollo, y seguridad pública; por lo que dicha reforma pretende contribuir a su solución a través de los siguientes objetivos estratégicos:</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numPr>
          <w:ilvl w:val="0"/>
          <w:numId w:val="26"/>
        </w:numPr>
        <w:ind w:left="993" w:hanging="284"/>
        <w:rPr>
          <w:rFonts w:ascii="Arial Narrow" w:hAnsi="Arial Narrow"/>
          <w:sz w:val="22"/>
          <w:szCs w:val="22"/>
        </w:rPr>
      </w:pPr>
      <w:r w:rsidRPr="00992D26">
        <w:rPr>
          <w:rFonts w:ascii="Arial Narrow" w:hAnsi="Arial Narrow"/>
          <w:sz w:val="22"/>
          <w:szCs w:val="22"/>
        </w:rPr>
        <w:t>Aumentar la capacidad financiera del Estado, incrementando la disponibilidad de recursos para que el Estado pueda atender las necesidades prioritarias de la población.</w:t>
      </w:r>
    </w:p>
    <w:p w:rsidR="00B83815" w:rsidRPr="00992D26" w:rsidRDefault="00B83815" w:rsidP="00B83815">
      <w:pPr>
        <w:pStyle w:val="Sangradetextonormal"/>
        <w:numPr>
          <w:ilvl w:val="0"/>
          <w:numId w:val="26"/>
        </w:numPr>
        <w:ind w:left="993" w:hanging="284"/>
        <w:rPr>
          <w:rFonts w:ascii="Arial Narrow" w:hAnsi="Arial Narrow"/>
          <w:sz w:val="22"/>
          <w:szCs w:val="22"/>
        </w:rPr>
      </w:pPr>
      <w:r w:rsidRPr="00992D26">
        <w:rPr>
          <w:rFonts w:ascii="Arial Narrow" w:hAnsi="Arial Narrow"/>
          <w:sz w:val="22"/>
          <w:szCs w:val="22"/>
        </w:rPr>
        <w:t>Mejorar la equidad</w:t>
      </w:r>
      <w:r>
        <w:rPr>
          <w:rFonts w:ascii="Arial Narrow" w:hAnsi="Arial Narrow"/>
          <w:sz w:val="22"/>
          <w:szCs w:val="22"/>
        </w:rPr>
        <w:t>,</w:t>
      </w:r>
      <w:r w:rsidRPr="00992D26">
        <w:rPr>
          <w:rFonts w:ascii="Arial Narrow" w:hAnsi="Arial Narrow"/>
          <w:sz w:val="22"/>
          <w:szCs w:val="22"/>
        </w:rPr>
        <w:t xml:space="preserve"> al garantizar que paguen más los que más tienen y eliminar privilegios.</w:t>
      </w:r>
    </w:p>
    <w:p w:rsidR="00B83815" w:rsidRPr="00992D26" w:rsidRDefault="00B83815" w:rsidP="00B83815">
      <w:pPr>
        <w:pStyle w:val="Sangradetextonormal"/>
        <w:numPr>
          <w:ilvl w:val="0"/>
          <w:numId w:val="26"/>
        </w:numPr>
        <w:ind w:left="993" w:hanging="284"/>
        <w:rPr>
          <w:rFonts w:ascii="Arial Narrow" w:hAnsi="Arial Narrow"/>
          <w:sz w:val="22"/>
          <w:szCs w:val="22"/>
        </w:rPr>
      </w:pPr>
      <w:r w:rsidRPr="00992D26">
        <w:rPr>
          <w:rFonts w:ascii="Arial Narrow" w:hAnsi="Arial Narrow"/>
          <w:sz w:val="22"/>
          <w:szCs w:val="22"/>
        </w:rPr>
        <w:t>Reducir la informalidad y la evasión fiscal, a través de mecanismos de formalización accesibles para todos y de nuevas reglas e incentivos, y sanciones para los que evadan su obligación.</w:t>
      </w:r>
    </w:p>
    <w:p w:rsidR="00B83815" w:rsidRPr="00992D26" w:rsidRDefault="00B83815" w:rsidP="00B83815">
      <w:pPr>
        <w:pStyle w:val="Sangradetextonormal"/>
        <w:numPr>
          <w:ilvl w:val="0"/>
          <w:numId w:val="26"/>
        </w:numPr>
        <w:ind w:left="993" w:hanging="284"/>
        <w:rPr>
          <w:rFonts w:ascii="Arial Narrow" w:hAnsi="Arial Narrow"/>
          <w:sz w:val="22"/>
          <w:szCs w:val="22"/>
        </w:rPr>
      </w:pPr>
      <w:r w:rsidRPr="00992D26">
        <w:rPr>
          <w:rFonts w:ascii="Arial Narrow" w:hAnsi="Arial Narrow"/>
          <w:sz w:val="22"/>
          <w:szCs w:val="22"/>
        </w:rPr>
        <w:t>Incluir mecanismos de control para transparentar y hacer más eficiente el gasto público, y promover la rendición de cuentas.</w:t>
      </w:r>
    </w:p>
    <w:p w:rsidR="00B83815" w:rsidRPr="00992D26" w:rsidRDefault="00B83815" w:rsidP="00B83815">
      <w:pPr>
        <w:pStyle w:val="Sangradetextonormal"/>
        <w:numPr>
          <w:ilvl w:val="0"/>
          <w:numId w:val="26"/>
        </w:numPr>
        <w:ind w:left="993" w:hanging="284"/>
        <w:rPr>
          <w:rFonts w:ascii="Arial Narrow" w:hAnsi="Arial Narrow"/>
          <w:sz w:val="22"/>
          <w:szCs w:val="22"/>
        </w:rPr>
      </w:pPr>
      <w:r w:rsidRPr="00992D26">
        <w:rPr>
          <w:rFonts w:ascii="Arial Narrow" w:hAnsi="Arial Narrow"/>
          <w:sz w:val="22"/>
          <w:szCs w:val="22"/>
        </w:rPr>
        <w:t>Crear impuestos con responsabilidad social para proteger la salud de la población y el medio ambiente.</w:t>
      </w:r>
    </w:p>
    <w:p w:rsidR="00B83815" w:rsidRPr="00992D26" w:rsidRDefault="00B83815" w:rsidP="00B83815">
      <w:pPr>
        <w:pStyle w:val="Sangradetextonormal"/>
        <w:numPr>
          <w:ilvl w:val="0"/>
          <w:numId w:val="26"/>
        </w:numPr>
        <w:ind w:left="993" w:hanging="284"/>
        <w:rPr>
          <w:rFonts w:ascii="Arial Narrow" w:hAnsi="Arial Narrow"/>
          <w:sz w:val="22"/>
          <w:szCs w:val="22"/>
        </w:rPr>
      </w:pPr>
      <w:r w:rsidRPr="00992D26">
        <w:rPr>
          <w:rFonts w:ascii="Arial Narrow" w:hAnsi="Arial Narrow"/>
          <w:sz w:val="22"/>
          <w:szCs w:val="22"/>
        </w:rPr>
        <w:t>Simplificar el pago de impuestos, con la eliminación de gravámenes y el uso de nuevas tecnologías para facilitar el cumplimiento fiscal.</w:t>
      </w:r>
    </w:p>
    <w:p w:rsidR="00B83815" w:rsidRPr="00992D26" w:rsidRDefault="00B83815" w:rsidP="00B83815">
      <w:pPr>
        <w:pStyle w:val="Sangradetextonormal"/>
        <w:spacing w:line="240" w:lineRule="exact"/>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adición a lo anterior, el Gobi</w:t>
      </w:r>
      <w:r>
        <w:rPr>
          <w:rFonts w:ascii="Arial Narrow" w:hAnsi="Arial Narrow"/>
          <w:sz w:val="22"/>
          <w:szCs w:val="22"/>
        </w:rPr>
        <w:t xml:space="preserve">erno de la República aplicará por vez primera nuevas medidas de responsabilidad hacendaria aprobadas por el H. Congreso de la Unión consistentes en la incorporación de una meta sobre los requerimientos financieros del sector público en 2015, el establecimiento de metas para las Empresas Productivas del Estado, la fijación de un límite máximo de gasto corriente estructural, así como el diseño de medidas y mecanismos para el manejo de los ingresos excedentes y fondos de estabilización.  </w:t>
      </w:r>
    </w:p>
    <w:p w:rsidR="00B83815" w:rsidRPr="00992D26" w:rsidRDefault="00B83815" w:rsidP="00B83815">
      <w:pPr>
        <w:pStyle w:val="Sangradetextonormal"/>
        <w:spacing w:line="240" w:lineRule="auto"/>
        <w:ind w:left="1281" w:firstLine="0"/>
        <w:rPr>
          <w:rFonts w:ascii="Arial Narrow" w:hAnsi="Arial Narrow"/>
          <w:sz w:val="25"/>
        </w:rPr>
      </w:pPr>
    </w:p>
    <w:p w:rsidR="00B83815" w:rsidRPr="00992D26" w:rsidRDefault="00B83815" w:rsidP="00B83815">
      <w:pPr>
        <w:pStyle w:val="Sangradetextonormal"/>
        <w:spacing w:line="240" w:lineRule="auto"/>
        <w:ind w:left="1281" w:firstLine="0"/>
        <w:rPr>
          <w:rFonts w:ascii="Arial Narrow" w:hAnsi="Arial Narrow"/>
          <w:sz w:val="25"/>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lastRenderedPageBreak/>
        <w:t>Metas</w:t>
      </w:r>
    </w:p>
    <w:p w:rsidR="00B83815" w:rsidRPr="00992D26" w:rsidRDefault="00B83815" w:rsidP="00B83815">
      <w:pPr>
        <w:pStyle w:val="Sangradetextonormal"/>
        <w:spacing w:line="240" w:lineRule="exact"/>
        <w:rPr>
          <w:rFonts w:ascii="Arial Narrow" w:hAnsi="Arial Narrow"/>
          <w:b/>
          <w:bCs/>
          <w:sz w:val="32"/>
          <w:szCs w:val="32"/>
        </w:rPr>
      </w:pPr>
    </w:p>
    <w:p w:rsidR="00B83815" w:rsidRPr="00992D26" w:rsidRDefault="00B83815" w:rsidP="00B83815">
      <w:pPr>
        <w:pStyle w:val="Sangradetextonormal"/>
        <w:spacing w:line="240" w:lineRule="exact"/>
        <w:rPr>
          <w:rFonts w:ascii="Arial Narrow" w:hAnsi="Arial Narrow"/>
          <w:b/>
          <w:bCs/>
          <w:sz w:val="32"/>
          <w:szCs w:val="3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 xml:space="preserve">Al considerar la espera de un mayor dinamismo económico, guiado por un crecimiento de la inversión y del sector externo,  la estimación de crecimiento fue fijado en un 3.7 por ciento para 2015. </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Con respecto a la inflación, se pronosticó que en 2015, ésta se ubicaría dentro del objetivo del Banco de México de 3 por ciento más un intervalo de variabilidad de un punto porcentual.</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el Paquete Económico de 2015</w:t>
      </w:r>
      <w:r>
        <w:rPr>
          <w:rFonts w:ascii="Arial Narrow" w:hAnsi="Arial Narrow"/>
          <w:sz w:val="22"/>
          <w:szCs w:val="22"/>
        </w:rPr>
        <w:t xml:space="preserve"> quedó precisado que </w:t>
      </w:r>
      <w:r w:rsidRPr="00992D26">
        <w:rPr>
          <w:rFonts w:ascii="Arial Narrow" w:hAnsi="Arial Narrow"/>
          <w:sz w:val="22"/>
          <w:szCs w:val="22"/>
        </w:rPr>
        <w:t>este año se caracterizaría por bajos ingresos petroleros y un nivel de actividad económica que aún se encontraría por debajo de su nivel potencial, por lo que para hacer frente al faltante transitorio de ingresos y suavizar la trayectoria de gasto a fin de no afectar la dinámica positiva de nuestra economía, se planteó un déficit público de 1.0 por ciento del PIB, sin considerar la inversión de las Empresas Productivas del Estado.  Al considerar la inversión de</w:t>
      </w:r>
      <w:r>
        <w:rPr>
          <w:rFonts w:ascii="Arial Narrow" w:hAnsi="Arial Narrow"/>
          <w:sz w:val="22"/>
          <w:szCs w:val="22"/>
        </w:rPr>
        <w:t xml:space="preserve"> dichas e</w:t>
      </w:r>
      <w:r w:rsidRPr="00992D26">
        <w:rPr>
          <w:rFonts w:ascii="Arial Narrow" w:hAnsi="Arial Narrow"/>
          <w:sz w:val="22"/>
          <w:szCs w:val="22"/>
        </w:rPr>
        <w:t>mpresas, la meta propuesta de déficit total del sector público quedó establecida en 3.5 por ciento del PIB para el año 2015.</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Cs w:val="28"/>
        </w:rPr>
      </w:pPr>
      <w:r w:rsidRPr="00992D26">
        <w:rPr>
          <w:rFonts w:ascii="Arial Narrow" w:hAnsi="Arial Narrow"/>
          <w:b/>
          <w:bCs/>
          <w:szCs w:val="28"/>
        </w:rPr>
        <w:tab/>
      </w: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Producto Interno Bruto (PIB)</w:t>
      </w:r>
    </w:p>
    <w:p w:rsidR="00B83815" w:rsidRPr="00992D26" w:rsidRDefault="00B83815" w:rsidP="00B83815">
      <w:pPr>
        <w:pStyle w:val="Sangradetextonormal"/>
        <w:ind w:left="540"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bCs/>
          <w:sz w:val="22"/>
          <w:szCs w:val="22"/>
        </w:rPr>
      </w:pPr>
      <w:r w:rsidRPr="00992D26">
        <w:rPr>
          <w:rFonts w:ascii="Arial Narrow" w:hAnsi="Arial Narrow"/>
          <w:bCs/>
          <w:sz w:val="22"/>
          <w:szCs w:val="22"/>
        </w:rPr>
        <w:t>Cabe señalar que la información relacionada con el PIB  (Producto Interno Bruto) ofrece en el corto plazo, una visión oportuna, completa y coherente de la evolución de las actividades económicas del país, para apoyar la toma de decisiones.</w:t>
      </w:r>
    </w:p>
    <w:p w:rsidR="00B83815" w:rsidRPr="00992D26" w:rsidRDefault="00B83815" w:rsidP="00B83815">
      <w:pPr>
        <w:pStyle w:val="Sangradetextonormal"/>
        <w:rPr>
          <w:rFonts w:ascii="Arial Narrow" w:hAnsi="Arial Narrow"/>
          <w:bCs/>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t xml:space="preserve">Al respecto, se informa que con datos </w:t>
      </w:r>
      <w:proofErr w:type="spellStart"/>
      <w:r w:rsidRPr="00992D26">
        <w:rPr>
          <w:rFonts w:ascii="Arial Narrow" w:hAnsi="Arial Narrow"/>
          <w:sz w:val="22"/>
          <w:szCs w:val="22"/>
        </w:rPr>
        <w:t>desestacionalizados</w:t>
      </w:r>
      <w:proofErr w:type="spellEnd"/>
      <w:r w:rsidRPr="00992D26">
        <w:rPr>
          <w:rFonts w:ascii="Arial Narrow" w:hAnsi="Arial Narrow"/>
          <w:sz w:val="22"/>
          <w:szCs w:val="22"/>
        </w:rPr>
        <w:t xml:space="preserve">, durante el cuarto trimestre de 2015 el PIB (Producto Interno Bruto) registró un crecimiento de 0.5% respecto al trimestre inmediato anterior. </w:t>
      </w:r>
    </w:p>
    <w:p w:rsidR="00B83815" w:rsidRPr="00992D26" w:rsidRDefault="00B83815" w:rsidP="00B83815">
      <w:pPr>
        <w:pStyle w:val="Sangradetextonormal"/>
        <w:ind w:firstLine="720"/>
        <w:rPr>
          <w:rFonts w:ascii="Arial Narrow" w:hAnsi="Arial Narrow"/>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lastRenderedPageBreak/>
        <w:t>Por componentes, las actividades terciarias se incrementaron 0.9 %, las actividades secundarias decrecieron 0.4%, en tanto que las actividades primarias disminuyeron 1.9% comparativamente con el trimestre julio – septiembre.</w:t>
      </w:r>
    </w:p>
    <w:p w:rsidR="00B83815" w:rsidRPr="00992D26" w:rsidRDefault="00B83815" w:rsidP="00B83815">
      <w:pPr>
        <w:pStyle w:val="Sangradetextonormal"/>
        <w:ind w:left="540" w:firstLine="0"/>
        <w:jc w:val="left"/>
        <w:rPr>
          <w:rFonts w:ascii="Arial Narrow" w:hAnsi="Arial Narrow"/>
          <w:b/>
          <w:bCs/>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t>En su comparación anual, el Producto Interno Bruto (PIB) registró una alza de 2.5% en el cuarto trimestre de 2015 respecto a igual trimestre de 2014; por grandes actividades económicas, el PIB de las actividades terciarias se elevó 3.7%, el de las primarias 2.9 por ciento y el de las secundarias 0.2%.</w:t>
      </w:r>
    </w:p>
    <w:p w:rsidR="00B83815"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Empleo</w:t>
      </w: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Al 31 de diciembre de 2015, el número de trabajadores afiliados al IMSS fue de 17.9 millones de personas, nivel que implicó un crecimiento anual de 644 mil plazas (3.7 por ciento). Por tipo de contrato, la afiliación permanente se incrementó en 599 mil trabajadores (92.9 por ciento del total) y la afiliación eventual lo hizo en 46 mil personas (7.1 por ciento del total).</w:t>
      </w:r>
    </w:p>
    <w:p w:rsidR="00B83815" w:rsidRPr="00992D26" w:rsidRDefault="00B83815" w:rsidP="00B83815">
      <w:pPr>
        <w:pStyle w:val="Sangradetextonormal"/>
        <w:ind w:firstLine="876"/>
        <w:rPr>
          <w:rFonts w:ascii="Arial Narrow" w:hAnsi="Arial Narrow"/>
          <w:sz w:val="22"/>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Durante el cuarto trimestre de 2015 la tasa de desocupación nacional se ubicó en 4.16 por ciento de la PEA (Población Económicamente Activa), tasa que representa una disminución anual de 0.20 puntos porcentuales.</w:t>
      </w:r>
    </w:p>
    <w:p w:rsidR="00B83815" w:rsidRPr="00992D26" w:rsidRDefault="00B83815" w:rsidP="00B83815">
      <w:pPr>
        <w:pStyle w:val="Sangradetextonormal"/>
        <w:ind w:firstLine="876"/>
        <w:rPr>
          <w:rFonts w:ascii="Arial Narrow" w:hAnsi="Arial Narrow"/>
          <w:sz w:val="22"/>
          <w:szCs w:val="22"/>
          <w:highlight w:val="yellow"/>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Por su parte, durante el cuarto trimestre de 2015, la tasa de desocupación en las principales áreas urbanas se ubicó en 4.9 por ciento de la PEA, mientras que en el mismo período del año anterior se ubicó en 5.1 porciento.</w:t>
      </w:r>
    </w:p>
    <w:p w:rsidR="00B83815" w:rsidRPr="00992D26" w:rsidRDefault="00B83815" w:rsidP="00B83815">
      <w:pPr>
        <w:pStyle w:val="Sangradetextonormal"/>
        <w:ind w:firstLine="876"/>
        <w:rPr>
          <w:rFonts w:ascii="Arial Narrow" w:hAnsi="Arial Narrow"/>
          <w:sz w:val="22"/>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En el trimestre octubre-diciembre la tasa de subocupación se ubicó en 8.5 por ciento de la población ocupada.</w:t>
      </w:r>
    </w:p>
    <w:p w:rsidR="00B83815"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37681"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37681">
        <w:rPr>
          <w:rFonts w:ascii="Arial Narrow" w:hAnsi="Arial Narrow"/>
          <w:b/>
          <w:bCs/>
          <w:szCs w:val="28"/>
        </w:rPr>
        <w:lastRenderedPageBreak/>
        <w:t>Inflación</w:t>
      </w:r>
    </w:p>
    <w:p w:rsidR="00B83815" w:rsidRPr="00937681" w:rsidRDefault="00B83815" w:rsidP="00B83815">
      <w:pPr>
        <w:pStyle w:val="Sangradetextonormal"/>
        <w:spacing w:line="240" w:lineRule="auto"/>
        <w:ind w:left="540" w:firstLine="0"/>
        <w:jc w:val="left"/>
        <w:rPr>
          <w:rFonts w:ascii="Arial Narrow" w:hAnsi="Arial Narrow"/>
          <w:b/>
          <w:bCs/>
          <w:sz w:val="32"/>
          <w:szCs w:val="32"/>
        </w:rPr>
      </w:pPr>
    </w:p>
    <w:p w:rsidR="00B83815" w:rsidRPr="00937681" w:rsidRDefault="00B83815" w:rsidP="00B83815">
      <w:pPr>
        <w:pStyle w:val="Sangradetextonormal"/>
        <w:ind w:firstLine="876"/>
        <w:rPr>
          <w:rFonts w:ascii="Arial Narrow" w:hAnsi="Arial Narrow"/>
          <w:sz w:val="22"/>
          <w:szCs w:val="22"/>
        </w:rPr>
      </w:pPr>
      <w:r w:rsidRPr="00937681">
        <w:rPr>
          <w:rFonts w:ascii="Arial Narrow" w:hAnsi="Arial Narrow"/>
          <w:sz w:val="22"/>
          <w:szCs w:val="22"/>
        </w:rPr>
        <w:t xml:space="preserve">El Banco de México informa que la conducción de la política monetaria </w:t>
      </w:r>
      <w:r>
        <w:rPr>
          <w:rFonts w:ascii="Arial Narrow" w:hAnsi="Arial Narrow"/>
          <w:sz w:val="22"/>
          <w:szCs w:val="22"/>
        </w:rPr>
        <w:t>se ha enfocado en procurar la estabilidad del poder adquisitivo de la moneda nacional, observando en todo momento que ésta se alcance al menor costo posible para la sociedad en términos de actividad económica.</w:t>
      </w:r>
    </w:p>
    <w:p w:rsidR="00B83815" w:rsidRPr="00937681" w:rsidRDefault="00B83815" w:rsidP="00B83815">
      <w:pPr>
        <w:pStyle w:val="Sangradetextonormal"/>
        <w:ind w:firstLine="876"/>
        <w:rPr>
          <w:rFonts w:ascii="Arial Narrow" w:hAnsi="Arial Narrow"/>
          <w:sz w:val="22"/>
          <w:szCs w:val="22"/>
        </w:rPr>
      </w:pPr>
    </w:p>
    <w:p w:rsidR="00B83815" w:rsidRPr="00937681" w:rsidRDefault="00B83815" w:rsidP="00B83815">
      <w:pPr>
        <w:pStyle w:val="Sangradetextonormal"/>
        <w:ind w:firstLine="876"/>
        <w:rPr>
          <w:rFonts w:ascii="Arial Narrow" w:hAnsi="Arial Narrow"/>
          <w:sz w:val="22"/>
          <w:szCs w:val="22"/>
        </w:rPr>
      </w:pPr>
      <w:r w:rsidRPr="00937681">
        <w:rPr>
          <w:rFonts w:ascii="Arial Narrow" w:hAnsi="Arial Narrow"/>
          <w:sz w:val="22"/>
          <w:szCs w:val="22"/>
        </w:rPr>
        <w:t xml:space="preserve">Así mismo, dicho Instituto Central subraya que </w:t>
      </w:r>
      <w:r>
        <w:rPr>
          <w:rFonts w:ascii="Arial Narrow" w:hAnsi="Arial Narrow"/>
          <w:sz w:val="22"/>
          <w:szCs w:val="22"/>
        </w:rPr>
        <w:t>los esfuerzos que se han realizado para lograr obtener un entorno de inflación baja y estable en México, contribuyeron a que en los primeros meses de 2015 la inflación general convergiera a la meta permanente de 3 por ciento y a partir de mayo se ubicara por debajo de la misma, presentando niveles mínimos históricos de manera consecutiva, para cerrar 2015 con una variación anual de 2.13 por ciento, que es la menor cifra que se ha registrado desde que se mide y publica el INPC (Índice Nacional de Precios al Consumidor).</w:t>
      </w:r>
      <w:r w:rsidRPr="00937681">
        <w:rPr>
          <w:rFonts w:ascii="Arial Narrow" w:hAnsi="Arial Narrow"/>
          <w:sz w:val="22"/>
          <w:szCs w:val="22"/>
        </w:rPr>
        <w:t xml:space="preserve"> </w:t>
      </w:r>
    </w:p>
    <w:p w:rsidR="00B83815" w:rsidRPr="00937681" w:rsidRDefault="00B83815" w:rsidP="00B83815">
      <w:pPr>
        <w:pStyle w:val="Sangradetextonormal"/>
        <w:ind w:firstLine="876"/>
        <w:rPr>
          <w:rFonts w:ascii="Arial Narrow" w:hAnsi="Arial Narrow"/>
          <w:sz w:val="22"/>
          <w:szCs w:val="22"/>
        </w:rPr>
      </w:pPr>
    </w:p>
    <w:p w:rsidR="00B83815" w:rsidRPr="00937681" w:rsidRDefault="00B83815" w:rsidP="00B83815">
      <w:pPr>
        <w:pStyle w:val="Sangradetextonormal"/>
        <w:ind w:firstLine="876"/>
        <w:rPr>
          <w:rFonts w:ascii="Arial Narrow" w:hAnsi="Arial Narrow"/>
          <w:sz w:val="22"/>
          <w:szCs w:val="22"/>
        </w:rPr>
      </w:pPr>
      <w:r>
        <w:rPr>
          <w:rFonts w:ascii="Arial Narrow" w:hAnsi="Arial Narrow"/>
          <w:sz w:val="22"/>
          <w:szCs w:val="22"/>
        </w:rPr>
        <w:t>El comportamiento favorable de la inflación ocurrió en una coyuntura sumamente compleja, en virtud de que en el ámbito interno predominó un crecimiento económico moderado y en cuanto al entorno internacional continuó la notoria debilidad en el ritmo de expansión de los niveles de actividad global, además de episodios recurrentes de volatilidad financiera, la continua tendencia a la baja en el precio del petróleo y un alto grado de incertidumbre acerca del momento y el ritmo en el que se normalizaría la postura monetaria en los Estados Unidos de América.</w:t>
      </w:r>
    </w:p>
    <w:p w:rsidR="00B83815" w:rsidRPr="00992D26" w:rsidRDefault="00B83815" w:rsidP="00B83815">
      <w:pPr>
        <w:pStyle w:val="Sangradetextonormal"/>
        <w:ind w:left="539" w:firstLine="0"/>
        <w:jc w:val="left"/>
        <w:rPr>
          <w:rFonts w:ascii="Arial Narrow" w:hAnsi="Arial Narrow"/>
          <w:sz w:val="22"/>
          <w:szCs w:val="22"/>
          <w:highlight w:val="yellow"/>
        </w:rPr>
      </w:pPr>
    </w:p>
    <w:p w:rsidR="00B83815" w:rsidRPr="001273F3" w:rsidRDefault="00B83815" w:rsidP="00B83815">
      <w:pPr>
        <w:pStyle w:val="Sangradetextonormal"/>
        <w:ind w:firstLine="876"/>
        <w:rPr>
          <w:rFonts w:ascii="Arial Narrow" w:hAnsi="Arial Narrow"/>
          <w:sz w:val="22"/>
          <w:szCs w:val="22"/>
        </w:rPr>
      </w:pPr>
      <w:r w:rsidRPr="001273F3">
        <w:rPr>
          <w:rFonts w:ascii="Arial Narrow" w:hAnsi="Arial Narrow"/>
          <w:sz w:val="22"/>
          <w:szCs w:val="22"/>
        </w:rPr>
        <w:t xml:space="preserve"> Conforme a l</w:t>
      </w:r>
      <w:r>
        <w:rPr>
          <w:rFonts w:ascii="Arial Narrow" w:hAnsi="Arial Narrow"/>
          <w:sz w:val="22"/>
          <w:szCs w:val="22"/>
        </w:rPr>
        <w:t>o descrito, en diciembre de 2015</w:t>
      </w:r>
      <w:r w:rsidRPr="001273F3">
        <w:rPr>
          <w:rFonts w:ascii="Arial Narrow" w:hAnsi="Arial Narrow"/>
          <w:sz w:val="22"/>
          <w:szCs w:val="22"/>
        </w:rPr>
        <w:t xml:space="preserve"> el Índice Nacional de Precios al Consumidor (INPC) registró </w:t>
      </w:r>
      <w:r>
        <w:rPr>
          <w:rFonts w:ascii="Arial Narrow" w:hAnsi="Arial Narrow"/>
          <w:sz w:val="22"/>
          <w:szCs w:val="22"/>
        </w:rPr>
        <w:t>un incremento de 0.41</w:t>
      </w:r>
      <w:r w:rsidRPr="001273F3">
        <w:rPr>
          <w:rFonts w:ascii="Arial Narrow" w:hAnsi="Arial Narrow"/>
          <w:sz w:val="22"/>
          <w:szCs w:val="22"/>
        </w:rPr>
        <w:t xml:space="preserve"> por ciento, así como </w:t>
      </w:r>
      <w:r>
        <w:rPr>
          <w:rFonts w:ascii="Arial Narrow" w:hAnsi="Arial Narrow"/>
          <w:sz w:val="22"/>
          <w:szCs w:val="22"/>
        </w:rPr>
        <w:t>una tasa de inflación anual de 2.13</w:t>
      </w:r>
      <w:r w:rsidRPr="001273F3">
        <w:rPr>
          <w:rFonts w:ascii="Arial Narrow" w:hAnsi="Arial Narrow"/>
          <w:sz w:val="22"/>
          <w:szCs w:val="22"/>
        </w:rPr>
        <w:t xml:space="preserve"> por cient</w:t>
      </w:r>
      <w:r>
        <w:rPr>
          <w:rFonts w:ascii="Arial Narrow" w:hAnsi="Arial Narrow"/>
          <w:sz w:val="22"/>
          <w:szCs w:val="22"/>
        </w:rPr>
        <w:t>o. En el mismo periodo de 2014 los datos fueron de 0.49 por ciento mensual y de 4.08</w:t>
      </w:r>
      <w:r w:rsidRPr="001273F3">
        <w:rPr>
          <w:rFonts w:ascii="Arial Narrow" w:hAnsi="Arial Narrow"/>
          <w:sz w:val="22"/>
          <w:szCs w:val="22"/>
        </w:rPr>
        <w:t xml:space="preserve"> por ciento anual.</w:t>
      </w:r>
    </w:p>
    <w:p w:rsidR="00B83815" w:rsidRPr="001273F3" w:rsidRDefault="00B83815" w:rsidP="00B83815">
      <w:pPr>
        <w:pStyle w:val="Sangradetextonormal"/>
        <w:ind w:left="539" w:firstLine="0"/>
        <w:jc w:val="left"/>
        <w:rPr>
          <w:rFonts w:ascii="Arial Narrow" w:hAnsi="Arial Narrow"/>
          <w:sz w:val="22"/>
          <w:szCs w:val="22"/>
        </w:rPr>
      </w:pPr>
    </w:p>
    <w:p w:rsidR="00B83815" w:rsidRPr="001273F3" w:rsidRDefault="00B83815" w:rsidP="00B83815">
      <w:pPr>
        <w:pStyle w:val="Sangradetextonormal"/>
        <w:ind w:firstLine="876"/>
        <w:rPr>
          <w:rFonts w:ascii="Arial Narrow" w:hAnsi="Arial Narrow"/>
          <w:sz w:val="22"/>
          <w:szCs w:val="22"/>
        </w:rPr>
      </w:pPr>
      <w:r w:rsidRPr="001273F3">
        <w:rPr>
          <w:rFonts w:ascii="Arial Narrow" w:hAnsi="Arial Narrow"/>
          <w:sz w:val="22"/>
          <w:szCs w:val="22"/>
        </w:rPr>
        <w:t xml:space="preserve">El índice de precios subyacente </w:t>
      </w:r>
      <w:r>
        <w:rPr>
          <w:rFonts w:ascii="Arial Narrow" w:hAnsi="Arial Narrow"/>
          <w:sz w:val="22"/>
          <w:szCs w:val="22"/>
        </w:rPr>
        <w:t>presentó un crecimiento de 0.31</w:t>
      </w:r>
      <w:r w:rsidRPr="001273F3">
        <w:rPr>
          <w:rFonts w:ascii="Arial Narrow" w:hAnsi="Arial Narrow"/>
          <w:sz w:val="22"/>
          <w:szCs w:val="22"/>
        </w:rPr>
        <w:t xml:space="preserve"> por ciento,</w:t>
      </w:r>
      <w:r>
        <w:rPr>
          <w:rFonts w:ascii="Arial Narrow" w:hAnsi="Arial Narrow"/>
          <w:sz w:val="22"/>
          <w:szCs w:val="22"/>
        </w:rPr>
        <w:t xml:space="preserve"> colocando su tasa anual en 2.41</w:t>
      </w:r>
      <w:r w:rsidRPr="001273F3">
        <w:rPr>
          <w:rFonts w:ascii="Arial Narrow" w:hAnsi="Arial Narrow"/>
          <w:sz w:val="22"/>
          <w:szCs w:val="22"/>
        </w:rPr>
        <w:t xml:space="preserve"> por ciento. Por su parte, el índice de preci</w:t>
      </w:r>
      <w:r>
        <w:rPr>
          <w:rFonts w:ascii="Arial Narrow" w:hAnsi="Arial Narrow"/>
          <w:sz w:val="22"/>
          <w:szCs w:val="22"/>
        </w:rPr>
        <w:t>os no subyacente aumentó 0.72</w:t>
      </w:r>
      <w:r w:rsidRPr="001273F3">
        <w:rPr>
          <w:rFonts w:ascii="Arial Narrow" w:hAnsi="Arial Narrow"/>
          <w:sz w:val="22"/>
          <w:szCs w:val="22"/>
        </w:rPr>
        <w:t xml:space="preserve"> por ciento, alcanzando d</w:t>
      </w:r>
      <w:r>
        <w:rPr>
          <w:rFonts w:ascii="Arial Narrow" w:hAnsi="Arial Narrow"/>
          <w:sz w:val="22"/>
          <w:szCs w:val="22"/>
        </w:rPr>
        <w:t>e esta forma una tasa anual de 1.28</w:t>
      </w:r>
      <w:r w:rsidRPr="001273F3">
        <w:rPr>
          <w:rFonts w:ascii="Arial Narrow" w:hAnsi="Arial Narrow"/>
          <w:sz w:val="22"/>
          <w:szCs w:val="22"/>
        </w:rPr>
        <w:t xml:space="preserve"> por ciento.</w:t>
      </w:r>
    </w:p>
    <w:p w:rsidR="00B83815" w:rsidRPr="001273F3" w:rsidRDefault="00B83815" w:rsidP="00B83815">
      <w:pPr>
        <w:pStyle w:val="Sangradetextonormal"/>
        <w:ind w:left="539" w:firstLine="0"/>
        <w:jc w:val="left"/>
        <w:rPr>
          <w:rFonts w:ascii="Arial Narrow" w:hAnsi="Arial Narrow"/>
          <w:sz w:val="22"/>
          <w:szCs w:val="22"/>
        </w:rPr>
      </w:pPr>
    </w:p>
    <w:p w:rsidR="00B83815" w:rsidRPr="001273F3" w:rsidRDefault="00B83815" w:rsidP="00B83815">
      <w:pPr>
        <w:pStyle w:val="Sangradetextonormal"/>
        <w:ind w:firstLine="851"/>
        <w:rPr>
          <w:rFonts w:ascii="Arial Narrow" w:hAnsi="Arial Narrow"/>
          <w:bCs/>
          <w:sz w:val="22"/>
          <w:szCs w:val="22"/>
        </w:rPr>
      </w:pPr>
      <w:r w:rsidRPr="001273F3">
        <w:rPr>
          <w:rFonts w:ascii="Arial Narrow" w:hAnsi="Arial Narrow"/>
          <w:bCs/>
          <w:sz w:val="22"/>
          <w:szCs w:val="22"/>
        </w:rPr>
        <w:lastRenderedPageBreak/>
        <w:t>Al interior del índice de precios subyacente, el subíndice de precios de las mer</w:t>
      </w:r>
      <w:r>
        <w:rPr>
          <w:rFonts w:ascii="Arial Narrow" w:hAnsi="Arial Narrow"/>
          <w:bCs/>
          <w:sz w:val="22"/>
          <w:szCs w:val="22"/>
        </w:rPr>
        <w:t xml:space="preserve">cancías mostró una alza de 0.21 </w:t>
      </w:r>
      <w:r w:rsidRPr="001273F3">
        <w:rPr>
          <w:rFonts w:ascii="Arial Narrow" w:hAnsi="Arial Narrow"/>
          <w:bCs/>
          <w:sz w:val="22"/>
          <w:szCs w:val="22"/>
        </w:rPr>
        <w:t>por ciento y los precios de los servicios</w:t>
      </w:r>
      <w:r>
        <w:rPr>
          <w:rFonts w:ascii="Arial Narrow" w:hAnsi="Arial Narrow"/>
          <w:bCs/>
          <w:sz w:val="22"/>
          <w:szCs w:val="22"/>
        </w:rPr>
        <w:t xml:space="preserve"> avanzaron 0.39 por ciento, a tasa mensual.</w:t>
      </w:r>
    </w:p>
    <w:p w:rsidR="00B83815" w:rsidRPr="001273F3" w:rsidRDefault="00B83815" w:rsidP="00B83815">
      <w:pPr>
        <w:pStyle w:val="Sangradetextonormal"/>
        <w:spacing w:line="240" w:lineRule="auto"/>
        <w:ind w:firstLine="851"/>
        <w:rPr>
          <w:rFonts w:ascii="Arial Narrow" w:hAnsi="Arial Narrow"/>
          <w:bCs/>
          <w:sz w:val="22"/>
          <w:szCs w:val="22"/>
        </w:rPr>
      </w:pPr>
    </w:p>
    <w:p w:rsidR="00B83815" w:rsidRPr="001273F3" w:rsidRDefault="00B83815" w:rsidP="00B83815">
      <w:pPr>
        <w:pStyle w:val="Sangradetextonormal"/>
        <w:ind w:firstLine="851"/>
        <w:rPr>
          <w:rFonts w:ascii="Arial Narrow" w:hAnsi="Arial Narrow"/>
          <w:bCs/>
          <w:sz w:val="22"/>
          <w:szCs w:val="22"/>
        </w:rPr>
      </w:pPr>
      <w:r w:rsidRPr="001273F3">
        <w:rPr>
          <w:rFonts w:ascii="Arial Narrow" w:hAnsi="Arial Narrow"/>
          <w:bCs/>
          <w:sz w:val="22"/>
          <w:szCs w:val="22"/>
        </w:rPr>
        <w:t>Dentro del índice de precios no subyacente, el subíndice de los</w:t>
      </w:r>
      <w:r>
        <w:rPr>
          <w:rFonts w:ascii="Arial Narrow" w:hAnsi="Arial Narrow"/>
          <w:bCs/>
          <w:sz w:val="22"/>
          <w:szCs w:val="22"/>
        </w:rPr>
        <w:t xml:space="preserve"> productos agropecuarios subió 2.33 por ciento, mientras</w:t>
      </w:r>
      <w:r w:rsidRPr="001273F3">
        <w:rPr>
          <w:rFonts w:ascii="Arial Narrow" w:hAnsi="Arial Narrow"/>
          <w:bCs/>
          <w:sz w:val="22"/>
          <w:szCs w:val="22"/>
        </w:rPr>
        <w:t xml:space="preserve"> que los precios de los energéticos y tarifas aut</w:t>
      </w:r>
      <w:r>
        <w:rPr>
          <w:rFonts w:ascii="Arial Narrow" w:hAnsi="Arial Narrow"/>
          <w:bCs/>
          <w:sz w:val="22"/>
          <w:szCs w:val="22"/>
        </w:rPr>
        <w:t>orizadas por el gobierno disminuyeron 0.39</w:t>
      </w:r>
      <w:r w:rsidRPr="001273F3">
        <w:rPr>
          <w:rFonts w:ascii="Arial Narrow" w:hAnsi="Arial Narrow"/>
          <w:bCs/>
          <w:sz w:val="22"/>
          <w:szCs w:val="22"/>
        </w:rPr>
        <w:t xml:space="preserve"> por ciento.</w:t>
      </w:r>
    </w:p>
    <w:p w:rsidR="00B83815" w:rsidRPr="001273F3" w:rsidRDefault="00B83815" w:rsidP="00B83815">
      <w:pPr>
        <w:pStyle w:val="Sangradetextonormal"/>
        <w:ind w:firstLine="851"/>
        <w:rPr>
          <w:rFonts w:ascii="Arial Narrow" w:hAnsi="Arial Narrow"/>
          <w:bCs/>
          <w:sz w:val="22"/>
          <w:szCs w:val="22"/>
        </w:rPr>
      </w:pPr>
    </w:p>
    <w:p w:rsidR="00B83815" w:rsidRDefault="00B83815" w:rsidP="00B83815">
      <w:pPr>
        <w:pStyle w:val="Sangradetextonormal"/>
        <w:ind w:firstLine="708"/>
        <w:rPr>
          <w:rFonts w:ascii="Arial Narrow" w:hAnsi="Arial Narrow"/>
          <w:sz w:val="22"/>
          <w:szCs w:val="22"/>
        </w:rPr>
      </w:pPr>
      <w:r w:rsidRPr="00814F33">
        <w:rPr>
          <w:rFonts w:ascii="Arial Narrow" w:hAnsi="Arial Narrow"/>
          <w:sz w:val="22"/>
          <w:szCs w:val="22"/>
        </w:rPr>
        <w:t>En la gráfica que se presenta a continuación se muestra la evolución que ha tenido la inflación en los últimos tres años, de conformidad con los resultados comunicados recientemente por el Banco de México en el informe relativo al cuarto trime</w:t>
      </w:r>
      <w:r>
        <w:rPr>
          <w:rFonts w:ascii="Arial Narrow" w:hAnsi="Arial Narrow"/>
          <w:sz w:val="22"/>
          <w:szCs w:val="22"/>
        </w:rPr>
        <w:t>stre de 2015</w:t>
      </w:r>
      <w:r w:rsidRPr="00814F33">
        <w:rPr>
          <w:rFonts w:ascii="Arial Narrow" w:hAnsi="Arial Narrow"/>
          <w:sz w:val="22"/>
          <w:szCs w:val="22"/>
        </w:rPr>
        <w:t>:</w:t>
      </w:r>
    </w:p>
    <w:p w:rsidR="00B83815"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p>
    <w:p w:rsidR="00B83815" w:rsidRPr="00992D26" w:rsidRDefault="00B83815" w:rsidP="00B83815">
      <w:pPr>
        <w:pStyle w:val="Sangradetextonormal"/>
        <w:ind w:firstLine="708"/>
        <w:rPr>
          <w:rFonts w:ascii="Arial Narrow" w:hAnsi="Arial Narrow"/>
          <w:sz w:val="22"/>
          <w:szCs w:val="22"/>
        </w:rPr>
      </w:pPr>
      <w:r w:rsidRPr="00523FCA">
        <w:rPr>
          <w:noProof/>
          <w:lang w:val="es-MX" w:eastAsia="es-MX"/>
        </w:rPr>
        <w:drawing>
          <wp:anchor distT="0" distB="0" distL="114300" distR="114300" simplePos="0" relativeHeight="251663360" behindDoc="0" locked="0" layoutInCell="1" allowOverlap="1" wp14:anchorId="53C8C453" wp14:editId="582096B7">
            <wp:simplePos x="0" y="0"/>
            <wp:positionH relativeFrom="column">
              <wp:posOffset>225425</wp:posOffset>
            </wp:positionH>
            <wp:positionV relativeFrom="paragraph">
              <wp:posOffset>27305</wp:posOffset>
            </wp:positionV>
            <wp:extent cx="5612130" cy="3041015"/>
            <wp:effectExtent l="0" t="0" r="7620" b="698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2130" cy="3041015"/>
                    </a:xfrm>
                    <a:prstGeom prst="rect">
                      <a:avLst/>
                    </a:prstGeom>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noProof/>
          <w:lang w:val="es-MX" w:eastAsia="es-MX"/>
        </w:rPr>
      </w:pPr>
    </w:p>
    <w:p w:rsidR="00B83815" w:rsidRPr="00992D26" w:rsidRDefault="00B83815" w:rsidP="00B83815">
      <w:pPr>
        <w:pStyle w:val="Sangradetextonormal"/>
        <w:ind w:firstLine="708"/>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b/>
          <w:bCs/>
          <w:sz w:val="32"/>
          <w:szCs w:val="32"/>
        </w:rPr>
      </w:pPr>
    </w:p>
    <w:p w:rsidR="00B83815" w:rsidRDefault="00B83815" w:rsidP="00B83815">
      <w:pPr>
        <w:pStyle w:val="Sangradetextonormal"/>
        <w:ind w:left="540" w:firstLine="0"/>
        <w:jc w:val="left"/>
        <w:rPr>
          <w:rFonts w:ascii="Arial Narrow" w:hAnsi="Arial Narrow"/>
          <w:b/>
          <w:bCs/>
          <w:sz w:val="32"/>
          <w:szCs w:val="32"/>
        </w:rPr>
      </w:pPr>
    </w:p>
    <w:p w:rsidR="00B83815" w:rsidRDefault="00B83815" w:rsidP="00B83815">
      <w:pPr>
        <w:pStyle w:val="Sangradetextonormal"/>
        <w:ind w:left="540" w:firstLine="0"/>
        <w:jc w:val="left"/>
        <w:rPr>
          <w:rFonts w:ascii="Arial Narrow" w:hAnsi="Arial Narrow"/>
          <w:b/>
          <w:bCs/>
          <w:sz w:val="32"/>
          <w:szCs w:val="32"/>
        </w:rPr>
      </w:pPr>
    </w:p>
    <w:p w:rsidR="00B83815" w:rsidRDefault="00B83815" w:rsidP="00B83815">
      <w:pPr>
        <w:pStyle w:val="Sangradetextonormal"/>
        <w:ind w:left="540"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b/>
          <w:bCs/>
          <w:sz w:val="32"/>
          <w:szCs w:val="32"/>
        </w:rPr>
      </w:pPr>
    </w:p>
    <w:p w:rsidR="00B83815" w:rsidRPr="00814F33" w:rsidRDefault="00B83815" w:rsidP="00B83815">
      <w:pPr>
        <w:pStyle w:val="Sangradetextonormal"/>
        <w:ind w:left="900" w:firstLine="168"/>
        <w:jc w:val="left"/>
        <w:rPr>
          <w:rFonts w:ascii="Arial Narrow" w:hAnsi="Arial Narrow"/>
          <w:bCs/>
          <w:sz w:val="20"/>
        </w:rPr>
      </w:pPr>
      <w:r w:rsidRPr="00814F33">
        <w:rPr>
          <w:rFonts w:ascii="Arial Narrow" w:hAnsi="Arial Narrow"/>
          <w:bCs/>
          <w:sz w:val="20"/>
        </w:rPr>
        <w:t>Fuente: Banco de México con información de INEGI</w:t>
      </w:r>
    </w:p>
    <w:p w:rsidR="00B83815" w:rsidRDefault="00B83815" w:rsidP="00B83815">
      <w:pPr>
        <w:pStyle w:val="Sangradetextonormal"/>
        <w:ind w:left="540" w:firstLine="0"/>
        <w:jc w:val="left"/>
        <w:rPr>
          <w:rFonts w:ascii="Arial Narrow" w:hAnsi="Arial Narrow"/>
          <w:b/>
          <w:bCs/>
          <w:sz w:val="20"/>
        </w:rPr>
      </w:pPr>
    </w:p>
    <w:p w:rsidR="00B83815" w:rsidRPr="00814F33" w:rsidRDefault="00B83815" w:rsidP="00B83815">
      <w:pPr>
        <w:pStyle w:val="Sangradetextonormal"/>
        <w:ind w:left="540" w:firstLine="0"/>
        <w:jc w:val="left"/>
        <w:rPr>
          <w:rFonts w:ascii="Arial Narrow" w:hAnsi="Arial Narrow"/>
          <w:b/>
          <w:bCs/>
          <w:sz w:val="20"/>
        </w:rPr>
      </w:pP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lastRenderedPageBreak/>
        <w:t>Tasas de Interés</w:t>
      </w: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En reunión celebrada el 17 de Diciembre de 2015</w:t>
      </w:r>
      <w:r>
        <w:rPr>
          <w:rFonts w:ascii="Arial Narrow" w:hAnsi="Arial Narrow"/>
          <w:sz w:val="22"/>
          <w:szCs w:val="22"/>
        </w:rPr>
        <w:t xml:space="preserve"> </w:t>
      </w:r>
      <w:r w:rsidRPr="00992D26">
        <w:rPr>
          <w:rFonts w:ascii="Arial Narrow" w:hAnsi="Arial Narrow"/>
          <w:sz w:val="22"/>
          <w:szCs w:val="22"/>
        </w:rPr>
        <w:t>la Junta de Gobierno del Banco de México decidió por unanimidad incrementar en 25 puntos base el objetivo para la Tasa de Interés Interbancaria a un día, para ubicarla en 3.25 por ciento, en respuesta principalmente al incremento de 25 puntos base en el rango objetivo para la tasa de referencia de la Reserva Federal (FED) de los Estados Unidos de América</w:t>
      </w:r>
      <w:r>
        <w:rPr>
          <w:rFonts w:ascii="Arial Narrow" w:hAnsi="Arial Narrow"/>
          <w:sz w:val="22"/>
          <w:szCs w:val="22"/>
        </w:rPr>
        <w:t>.</w:t>
      </w:r>
    </w:p>
    <w:p w:rsidR="00B83815" w:rsidRPr="00992D26" w:rsidRDefault="00B83815" w:rsidP="00B83815">
      <w:pPr>
        <w:pStyle w:val="Sangradetextonormal"/>
        <w:ind w:firstLine="876"/>
        <w:rPr>
          <w:rFonts w:ascii="Arial Narrow" w:hAnsi="Arial Narrow"/>
          <w:sz w:val="22"/>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 xml:space="preserve">La decisión de política monetaria tomó en cuenta que el aumento realizado por la FED tiene implicaciones importantes para nuestro país, precisándose que el no ajustar la tasa de referencia en México podría generar una depreciación adicional del peso que fuera desordenada y que pudiera afectar a la inflación y a sus expectativas. </w:t>
      </w:r>
    </w:p>
    <w:p w:rsidR="00B83815" w:rsidRPr="00992D26" w:rsidRDefault="00B83815" w:rsidP="00B83815">
      <w:pPr>
        <w:pStyle w:val="Sangradetextonormal"/>
        <w:ind w:firstLine="876"/>
        <w:rPr>
          <w:rFonts w:ascii="Arial Narrow" w:hAnsi="Arial Narrow"/>
          <w:sz w:val="22"/>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En el siguiente cuadro se reportan los resultados de las Decisiones de Política Monetaria acontecidas en el Ejercicio 2015:</w:t>
      </w:r>
    </w:p>
    <w:p w:rsidR="00B83815" w:rsidRPr="00992D26" w:rsidRDefault="00303B1A" w:rsidP="00B83815">
      <w:pPr>
        <w:pStyle w:val="Sangradetextonormal"/>
        <w:ind w:firstLine="876"/>
        <w:rPr>
          <w:rFonts w:ascii="Arial Narrow" w:hAnsi="Arial Narrow"/>
          <w:sz w:val="25"/>
        </w:rPr>
      </w:pPr>
      <w:r>
        <w:rPr>
          <w:rFonts w:ascii="Arial Narrow" w:hAnsi="Arial Narrow"/>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pt;margin-top:20.85pt;width:457.55pt;height:189.8pt;z-index:251662336;mso-position-horizontal-relative:text;mso-position-vertical-relative:text">
            <v:imagedata r:id="rId10" o:title=""/>
          </v:shape>
          <o:OLEObject Type="Embed" ProgID="Excel.Sheet.12" ShapeID="_x0000_s1027" DrawAspect="Content" ObjectID="_1521633386" r:id="rId11"/>
        </w:pict>
      </w:r>
    </w:p>
    <w:p w:rsidR="00B83815" w:rsidRPr="00992D26" w:rsidRDefault="00B83815" w:rsidP="00B83815">
      <w:pPr>
        <w:pStyle w:val="Sangradetextonormal"/>
        <w:ind w:firstLine="876"/>
        <w:rPr>
          <w:rFonts w:ascii="Arial Narrow" w:hAnsi="Arial Narrow"/>
          <w:sz w:val="25"/>
          <w:lang w:val="es-MX"/>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Default="00B83815" w:rsidP="00B83815">
      <w:pPr>
        <w:pStyle w:val="Sangradetextonormal"/>
        <w:ind w:firstLine="876"/>
        <w:rPr>
          <w:rFonts w:ascii="Arial Narrow" w:hAnsi="Arial Narrow"/>
          <w:sz w:val="25"/>
        </w:rPr>
      </w:pPr>
      <w:r w:rsidRPr="00992D26">
        <w:rPr>
          <w:rFonts w:ascii="Arial Narrow" w:hAnsi="Arial Narrow"/>
          <w:sz w:val="25"/>
        </w:rPr>
        <w:t xml:space="preserve">   </w:t>
      </w: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Por otra parte, la tasa primaria de Cetes a 28 días c</w:t>
      </w:r>
      <w:r>
        <w:rPr>
          <w:rFonts w:ascii="Arial Narrow" w:hAnsi="Arial Narrow"/>
          <w:sz w:val="22"/>
          <w:szCs w:val="22"/>
        </w:rPr>
        <w:t>erró el cuarto trimestre de 2015 en 3.05</w:t>
      </w:r>
      <w:r w:rsidRPr="00992D26">
        <w:rPr>
          <w:rFonts w:ascii="Arial Narrow" w:hAnsi="Arial Narrow"/>
          <w:sz w:val="22"/>
          <w:szCs w:val="22"/>
        </w:rPr>
        <w:t xml:space="preserve"> por ciento, lo </w:t>
      </w:r>
      <w:r>
        <w:rPr>
          <w:rFonts w:ascii="Arial Narrow" w:hAnsi="Arial Narrow"/>
          <w:sz w:val="22"/>
          <w:szCs w:val="22"/>
        </w:rPr>
        <w:t>que significó un aumento de 3</w:t>
      </w:r>
      <w:r w:rsidRPr="00992D26">
        <w:rPr>
          <w:rFonts w:ascii="Arial Narrow" w:hAnsi="Arial Narrow"/>
          <w:sz w:val="22"/>
          <w:szCs w:val="22"/>
        </w:rPr>
        <w:t xml:space="preserve"> puntos base respecto al cierre del trimestre anterior. En contraste, la </w:t>
      </w:r>
      <w:r w:rsidRPr="00992D26">
        <w:rPr>
          <w:rFonts w:ascii="Arial Narrow" w:hAnsi="Arial Narrow"/>
          <w:sz w:val="22"/>
          <w:szCs w:val="22"/>
        </w:rPr>
        <w:lastRenderedPageBreak/>
        <w:t>tasa primaria</w:t>
      </w:r>
      <w:r>
        <w:rPr>
          <w:rFonts w:ascii="Arial Narrow" w:hAnsi="Arial Narrow"/>
          <w:sz w:val="22"/>
          <w:szCs w:val="22"/>
        </w:rPr>
        <w:t xml:space="preserve"> de Cetes a un año cerró en 3.68 por ciento, </w:t>
      </w:r>
      <w:r w:rsidRPr="00992D26">
        <w:rPr>
          <w:rFonts w:ascii="Arial Narrow" w:hAnsi="Arial Narrow"/>
          <w:sz w:val="22"/>
          <w:szCs w:val="22"/>
        </w:rPr>
        <w:t xml:space="preserve">3 puntos base por </w:t>
      </w:r>
      <w:r>
        <w:rPr>
          <w:rFonts w:ascii="Arial Narrow" w:hAnsi="Arial Narrow"/>
          <w:sz w:val="22"/>
          <w:szCs w:val="22"/>
        </w:rPr>
        <w:t>debajo</w:t>
      </w:r>
      <w:r w:rsidRPr="00992D26">
        <w:rPr>
          <w:rFonts w:ascii="Arial Narrow" w:hAnsi="Arial Narrow"/>
          <w:sz w:val="22"/>
          <w:szCs w:val="22"/>
        </w:rPr>
        <w:t xml:space="preserve"> del cierre del trimestre previo. Adicionalmente, las tasas primarias de los Bonos a 3 y 5 </w:t>
      </w:r>
      <w:r>
        <w:rPr>
          <w:rFonts w:ascii="Arial Narrow" w:hAnsi="Arial Narrow"/>
          <w:sz w:val="22"/>
          <w:szCs w:val="22"/>
        </w:rPr>
        <w:t>años aumentaron en 1 y 9</w:t>
      </w:r>
      <w:r w:rsidRPr="00992D26">
        <w:rPr>
          <w:rFonts w:ascii="Arial Narrow" w:hAnsi="Arial Narrow"/>
          <w:sz w:val="22"/>
          <w:szCs w:val="22"/>
        </w:rPr>
        <w:t xml:space="preserve"> puntos base, respectivamente. Asimismo, las tasas de largo plazo de 10 y </w:t>
      </w:r>
      <w:r>
        <w:rPr>
          <w:rFonts w:ascii="Arial Narrow" w:hAnsi="Arial Narrow"/>
          <w:sz w:val="22"/>
          <w:szCs w:val="22"/>
        </w:rPr>
        <w:t>20 años también aumentaron en 11 y 8</w:t>
      </w:r>
      <w:r w:rsidRPr="00992D26">
        <w:rPr>
          <w:rFonts w:ascii="Arial Narrow" w:hAnsi="Arial Narrow"/>
          <w:sz w:val="22"/>
          <w:szCs w:val="22"/>
        </w:rPr>
        <w:t xml:space="preserve"> puntos base, respectivamente, con r</w:t>
      </w:r>
      <w:r>
        <w:rPr>
          <w:rFonts w:ascii="Arial Narrow" w:hAnsi="Arial Narrow"/>
          <w:sz w:val="22"/>
          <w:szCs w:val="22"/>
        </w:rPr>
        <w:t>elación al nivel observado al cierre de septiembre de 2015</w:t>
      </w:r>
      <w:r w:rsidRPr="00992D26">
        <w:rPr>
          <w:rFonts w:ascii="Arial Narrow" w:hAnsi="Arial Narrow"/>
          <w:sz w:val="22"/>
          <w:szCs w:val="22"/>
        </w:rPr>
        <w:t>.</w:t>
      </w:r>
    </w:p>
    <w:p w:rsidR="00B83815" w:rsidRPr="00992D26" w:rsidRDefault="00B83815" w:rsidP="00B83815">
      <w:pPr>
        <w:pStyle w:val="Sangradetextonormal"/>
        <w:ind w:left="539" w:firstLine="0"/>
        <w:jc w:val="left"/>
        <w:rPr>
          <w:rFonts w:ascii="Arial Narrow" w:hAnsi="Arial Narrow"/>
          <w:sz w:val="25"/>
        </w:rPr>
      </w:pPr>
    </w:p>
    <w:p w:rsidR="00B83815" w:rsidRPr="004F5037"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4F5037">
        <w:rPr>
          <w:rFonts w:ascii="Arial Narrow" w:hAnsi="Arial Narrow"/>
          <w:b/>
          <w:bCs/>
          <w:szCs w:val="28"/>
        </w:rPr>
        <w:t xml:space="preserve">Importaciones y Exportaciones </w:t>
      </w:r>
    </w:p>
    <w:p w:rsidR="00B83815" w:rsidRPr="00992D26" w:rsidRDefault="00B83815" w:rsidP="00B83815">
      <w:pPr>
        <w:pStyle w:val="Sangradetextonormal"/>
        <w:ind w:left="539" w:firstLine="0"/>
        <w:jc w:val="left"/>
        <w:rPr>
          <w:rFonts w:ascii="Arial Narrow" w:hAnsi="Arial Narrow"/>
          <w:b/>
          <w:bCs/>
          <w:sz w:val="32"/>
          <w:szCs w:val="32"/>
        </w:rPr>
      </w:pPr>
    </w:p>
    <w:p w:rsidR="00B83815" w:rsidRPr="004F5037" w:rsidRDefault="00B83815" w:rsidP="00B83815">
      <w:pPr>
        <w:pStyle w:val="Sangradetextonormal"/>
        <w:ind w:firstLine="876"/>
        <w:rPr>
          <w:rFonts w:ascii="Arial Narrow" w:hAnsi="Arial Narrow"/>
          <w:sz w:val="22"/>
          <w:szCs w:val="22"/>
        </w:rPr>
      </w:pPr>
      <w:r w:rsidRPr="004F5037">
        <w:rPr>
          <w:rFonts w:ascii="Arial Narrow" w:hAnsi="Arial Narrow"/>
          <w:sz w:val="22"/>
          <w:szCs w:val="22"/>
        </w:rPr>
        <w:t>Durante 20</w:t>
      </w:r>
      <w:r>
        <w:rPr>
          <w:rFonts w:ascii="Arial Narrow" w:hAnsi="Arial Narrow"/>
          <w:sz w:val="22"/>
          <w:szCs w:val="22"/>
        </w:rPr>
        <w:t>15</w:t>
      </w:r>
      <w:r w:rsidRPr="004F5037">
        <w:rPr>
          <w:rFonts w:ascii="Arial Narrow" w:hAnsi="Arial Narrow"/>
          <w:sz w:val="22"/>
          <w:szCs w:val="22"/>
        </w:rPr>
        <w:t xml:space="preserve"> la balanza comercial d</w:t>
      </w:r>
      <w:r>
        <w:rPr>
          <w:rFonts w:ascii="Arial Narrow" w:hAnsi="Arial Narrow"/>
          <w:sz w:val="22"/>
          <w:szCs w:val="22"/>
        </w:rPr>
        <w:t>e México acumuló un déficit de 14 mil 460</w:t>
      </w:r>
      <w:r w:rsidRPr="004F5037">
        <w:rPr>
          <w:rFonts w:ascii="Arial Narrow" w:hAnsi="Arial Narrow"/>
          <w:sz w:val="22"/>
          <w:szCs w:val="22"/>
        </w:rPr>
        <w:t xml:space="preserve"> millones de dólares, déficit mayor en 1</w:t>
      </w:r>
      <w:r>
        <w:rPr>
          <w:rFonts w:ascii="Arial Narrow" w:hAnsi="Arial Narrow"/>
          <w:sz w:val="22"/>
          <w:szCs w:val="22"/>
        </w:rPr>
        <w:t>1 mil 612</w:t>
      </w:r>
      <w:r w:rsidRPr="004F5037">
        <w:rPr>
          <w:rFonts w:ascii="Arial Narrow" w:hAnsi="Arial Narrow"/>
          <w:sz w:val="22"/>
          <w:szCs w:val="22"/>
        </w:rPr>
        <w:t xml:space="preserve"> millones</w:t>
      </w:r>
      <w:r>
        <w:rPr>
          <w:rFonts w:ascii="Arial Narrow" w:hAnsi="Arial Narrow"/>
          <w:sz w:val="22"/>
          <w:szCs w:val="22"/>
        </w:rPr>
        <w:t xml:space="preserve"> de dólares al observado en 2014</w:t>
      </w:r>
      <w:r w:rsidRPr="004F5037">
        <w:rPr>
          <w:rFonts w:ascii="Arial Narrow" w:hAnsi="Arial Narrow"/>
          <w:sz w:val="22"/>
          <w:szCs w:val="22"/>
        </w:rPr>
        <w:t>. El déficit comercial de l</w:t>
      </w:r>
      <w:r>
        <w:rPr>
          <w:rFonts w:ascii="Arial Narrow" w:hAnsi="Arial Narrow"/>
          <w:sz w:val="22"/>
          <w:szCs w:val="22"/>
        </w:rPr>
        <w:t>a balanza no petrolera creció a un ritmo anual de 16.7</w:t>
      </w:r>
      <w:r w:rsidRPr="004F5037">
        <w:rPr>
          <w:rFonts w:ascii="Arial Narrow" w:hAnsi="Arial Narrow"/>
          <w:sz w:val="22"/>
          <w:szCs w:val="22"/>
        </w:rPr>
        <w:t xml:space="preserve"> por ciento, situá</w:t>
      </w:r>
      <w:r>
        <w:rPr>
          <w:rFonts w:ascii="Arial Narrow" w:hAnsi="Arial Narrow"/>
          <w:sz w:val="22"/>
          <w:szCs w:val="22"/>
        </w:rPr>
        <w:t>ndose en 4</w:t>
      </w:r>
      <w:r w:rsidRPr="004F5037">
        <w:rPr>
          <w:rFonts w:ascii="Arial Narrow" w:hAnsi="Arial Narrow"/>
          <w:sz w:val="22"/>
          <w:szCs w:val="22"/>
        </w:rPr>
        <w:t xml:space="preserve"> mil </w:t>
      </w:r>
      <w:r>
        <w:rPr>
          <w:rFonts w:ascii="Arial Narrow" w:hAnsi="Arial Narrow"/>
          <w:sz w:val="22"/>
          <w:szCs w:val="22"/>
        </w:rPr>
        <w:t>605</w:t>
      </w:r>
      <w:r w:rsidRPr="004F5037">
        <w:rPr>
          <w:rFonts w:ascii="Arial Narrow" w:hAnsi="Arial Narrow"/>
          <w:sz w:val="22"/>
          <w:szCs w:val="22"/>
        </w:rPr>
        <w:t xml:space="preserve"> millones de dólares.</w:t>
      </w:r>
    </w:p>
    <w:p w:rsidR="00B83815" w:rsidRPr="004F5037" w:rsidRDefault="00B83815" w:rsidP="00B83815">
      <w:pPr>
        <w:pStyle w:val="Sangradetextonormal"/>
        <w:ind w:left="539" w:firstLine="0"/>
        <w:jc w:val="left"/>
        <w:rPr>
          <w:rFonts w:ascii="Arial Narrow" w:hAnsi="Arial Narrow"/>
          <w:sz w:val="22"/>
          <w:szCs w:val="22"/>
        </w:rPr>
      </w:pPr>
    </w:p>
    <w:p w:rsidR="00B83815" w:rsidRPr="004F5037" w:rsidRDefault="00B83815" w:rsidP="00B83815">
      <w:pPr>
        <w:pStyle w:val="Sangradetextonormal"/>
        <w:ind w:firstLine="876"/>
        <w:rPr>
          <w:rFonts w:ascii="Arial Narrow" w:hAnsi="Arial Narrow"/>
          <w:sz w:val="22"/>
          <w:szCs w:val="22"/>
        </w:rPr>
      </w:pPr>
      <w:r w:rsidRPr="004F5037">
        <w:rPr>
          <w:rFonts w:ascii="Arial Narrow" w:hAnsi="Arial Narrow"/>
          <w:sz w:val="22"/>
          <w:szCs w:val="22"/>
        </w:rPr>
        <w:t xml:space="preserve">Las exportaciones de bienes </w:t>
      </w:r>
      <w:r>
        <w:rPr>
          <w:rFonts w:ascii="Arial Narrow" w:hAnsi="Arial Narrow"/>
          <w:sz w:val="22"/>
          <w:szCs w:val="22"/>
        </w:rPr>
        <w:t>se ubicaron en 380 mil 772</w:t>
      </w:r>
      <w:r w:rsidRPr="004F5037">
        <w:rPr>
          <w:rFonts w:ascii="Arial Narrow" w:hAnsi="Arial Narrow"/>
          <w:sz w:val="22"/>
          <w:szCs w:val="22"/>
        </w:rPr>
        <w:t xml:space="preserve"> millones de dólares, lo que implica una</w:t>
      </w:r>
      <w:r>
        <w:rPr>
          <w:rFonts w:ascii="Arial Narrow" w:hAnsi="Arial Narrow"/>
          <w:sz w:val="22"/>
          <w:szCs w:val="22"/>
        </w:rPr>
        <w:t xml:space="preserve"> disminuc</w:t>
      </w:r>
      <w:r w:rsidRPr="004F5037">
        <w:rPr>
          <w:rFonts w:ascii="Arial Narrow" w:hAnsi="Arial Narrow"/>
          <w:sz w:val="22"/>
          <w:szCs w:val="22"/>
        </w:rPr>
        <w:t xml:space="preserve">ión </w:t>
      </w:r>
      <w:r>
        <w:rPr>
          <w:rFonts w:ascii="Arial Narrow" w:hAnsi="Arial Narrow"/>
          <w:sz w:val="22"/>
          <w:szCs w:val="22"/>
        </w:rPr>
        <w:t>anual de 4.1</w:t>
      </w:r>
      <w:r w:rsidRPr="004F5037">
        <w:rPr>
          <w:rFonts w:ascii="Arial Narrow" w:hAnsi="Arial Narrow"/>
          <w:sz w:val="22"/>
          <w:szCs w:val="22"/>
        </w:rPr>
        <w:t xml:space="preserve"> por ciento. Por componentes, las exportaciones agropecuarias y manufactureras crecie</w:t>
      </w:r>
      <w:r>
        <w:rPr>
          <w:rFonts w:ascii="Arial Narrow" w:hAnsi="Arial Narrow"/>
          <w:sz w:val="22"/>
          <w:szCs w:val="22"/>
        </w:rPr>
        <w:t>ron a tasas anuales de 5.6 y 0.8</w:t>
      </w:r>
      <w:r w:rsidRPr="004F5037">
        <w:rPr>
          <w:rFonts w:ascii="Arial Narrow" w:hAnsi="Arial Narrow"/>
          <w:sz w:val="22"/>
          <w:szCs w:val="22"/>
        </w:rPr>
        <w:t xml:space="preserve"> por ciento, respectivamente, en tanto que</w:t>
      </w:r>
      <w:r>
        <w:rPr>
          <w:rFonts w:ascii="Arial Narrow" w:hAnsi="Arial Narrow"/>
          <w:sz w:val="22"/>
          <w:szCs w:val="22"/>
        </w:rPr>
        <w:t xml:space="preserve"> las extractivas se contrajeron 11.0 por ciento.</w:t>
      </w:r>
      <w:r w:rsidRPr="004F5037">
        <w:rPr>
          <w:rFonts w:ascii="Arial Narrow" w:hAnsi="Arial Narrow"/>
          <w:sz w:val="22"/>
          <w:szCs w:val="22"/>
        </w:rPr>
        <w:t xml:space="preserve"> </w:t>
      </w:r>
      <w:r>
        <w:rPr>
          <w:rFonts w:ascii="Arial Narrow" w:hAnsi="Arial Narrow"/>
          <w:sz w:val="22"/>
          <w:szCs w:val="22"/>
        </w:rPr>
        <w:t xml:space="preserve"> Así mismo, l</w:t>
      </w:r>
      <w:r w:rsidRPr="004F5037">
        <w:rPr>
          <w:rFonts w:ascii="Arial Narrow" w:hAnsi="Arial Narrow"/>
          <w:sz w:val="22"/>
          <w:szCs w:val="22"/>
        </w:rPr>
        <w:t>as ventas al exterior de prod</w:t>
      </w:r>
      <w:r>
        <w:rPr>
          <w:rFonts w:ascii="Arial Narrow" w:hAnsi="Arial Narrow"/>
          <w:sz w:val="22"/>
          <w:szCs w:val="22"/>
        </w:rPr>
        <w:t>uctos petroleros disminuyeron 45.0</w:t>
      </w:r>
      <w:r w:rsidRPr="004F5037">
        <w:rPr>
          <w:rFonts w:ascii="Arial Narrow" w:hAnsi="Arial Narrow"/>
          <w:sz w:val="22"/>
          <w:szCs w:val="22"/>
        </w:rPr>
        <w:t xml:space="preserve"> por ciento.</w:t>
      </w:r>
    </w:p>
    <w:p w:rsidR="00B83815" w:rsidRPr="004F5037" w:rsidRDefault="00B83815" w:rsidP="00B83815">
      <w:pPr>
        <w:pStyle w:val="Sangradetextonormal"/>
        <w:ind w:left="539" w:firstLine="0"/>
        <w:jc w:val="left"/>
        <w:rPr>
          <w:rFonts w:ascii="Arial Narrow" w:hAnsi="Arial Narrow"/>
          <w:sz w:val="22"/>
          <w:szCs w:val="22"/>
        </w:rPr>
      </w:pPr>
    </w:p>
    <w:p w:rsidR="00B83815" w:rsidRPr="004F5037" w:rsidRDefault="00B83815" w:rsidP="00B83815">
      <w:pPr>
        <w:pStyle w:val="Sangradetextonormal"/>
        <w:ind w:firstLine="876"/>
        <w:rPr>
          <w:rFonts w:ascii="Arial Narrow" w:hAnsi="Arial Narrow"/>
          <w:sz w:val="22"/>
          <w:szCs w:val="22"/>
        </w:rPr>
      </w:pPr>
      <w:r w:rsidRPr="004F5037">
        <w:rPr>
          <w:rFonts w:ascii="Arial Narrow" w:hAnsi="Arial Narrow"/>
          <w:sz w:val="22"/>
          <w:szCs w:val="22"/>
        </w:rPr>
        <w:t xml:space="preserve">Por su parte, </w:t>
      </w:r>
      <w:r>
        <w:rPr>
          <w:rFonts w:ascii="Arial Narrow" w:hAnsi="Arial Narrow"/>
          <w:sz w:val="22"/>
          <w:szCs w:val="22"/>
        </w:rPr>
        <w:t>durante 2015</w:t>
      </w:r>
      <w:r w:rsidRPr="004F5037">
        <w:rPr>
          <w:rFonts w:ascii="Arial Narrow" w:hAnsi="Arial Narrow"/>
          <w:sz w:val="22"/>
          <w:szCs w:val="22"/>
        </w:rPr>
        <w:t>, el valor nominal de las import</w:t>
      </w:r>
      <w:r>
        <w:rPr>
          <w:rFonts w:ascii="Arial Narrow" w:hAnsi="Arial Narrow"/>
          <w:sz w:val="22"/>
          <w:szCs w:val="22"/>
        </w:rPr>
        <w:t>aciones de mercancías fue de 395</w:t>
      </w:r>
      <w:r w:rsidRPr="004F5037">
        <w:rPr>
          <w:rFonts w:ascii="Arial Narrow" w:hAnsi="Arial Narrow"/>
          <w:sz w:val="22"/>
          <w:szCs w:val="22"/>
        </w:rPr>
        <w:t xml:space="preserve"> mil</w:t>
      </w:r>
      <w:r>
        <w:rPr>
          <w:rFonts w:ascii="Arial Narrow" w:hAnsi="Arial Narrow"/>
          <w:sz w:val="22"/>
          <w:szCs w:val="22"/>
        </w:rPr>
        <w:t xml:space="preserve"> 232</w:t>
      </w:r>
      <w:r w:rsidRPr="004F5037">
        <w:rPr>
          <w:rFonts w:ascii="Arial Narrow" w:hAnsi="Arial Narrow"/>
          <w:sz w:val="22"/>
          <w:szCs w:val="22"/>
        </w:rPr>
        <w:t xml:space="preserve"> millones de dólares, mo</w:t>
      </w:r>
      <w:r>
        <w:rPr>
          <w:rFonts w:ascii="Arial Narrow" w:hAnsi="Arial Narrow"/>
          <w:sz w:val="22"/>
          <w:szCs w:val="22"/>
        </w:rPr>
        <w:t>nto que representa una disminución anual de 1.2</w:t>
      </w:r>
      <w:r w:rsidRPr="004F5037">
        <w:rPr>
          <w:rFonts w:ascii="Arial Narrow" w:hAnsi="Arial Narrow"/>
          <w:sz w:val="22"/>
          <w:szCs w:val="22"/>
        </w:rPr>
        <w:t xml:space="preserve"> por ciento. Las imp</w:t>
      </w:r>
      <w:r>
        <w:rPr>
          <w:rFonts w:ascii="Arial Narrow" w:hAnsi="Arial Narrow"/>
          <w:sz w:val="22"/>
          <w:szCs w:val="22"/>
        </w:rPr>
        <w:t>ortaciones de bienes de consumo e intermedias cayeron a tasas anuales de 3.5 y 1.6 por ciento, respectivamente, mientras que las de capital avanzaron 5.2 por ciento.</w:t>
      </w:r>
    </w:p>
    <w:p w:rsidR="00B83815" w:rsidRPr="00992D26" w:rsidRDefault="00B83815" w:rsidP="00B83815">
      <w:pPr>
        <w:pStyle w:val="Sangradetextonormal"/>
        <w:ind w:firstLine="0"/>
        <w:rPr>
          <w:rFonts w:ascii="Arial Narrow" w:hAnsi="Arial Narrow"/>
          <w:sz w:val="25"/>
        </w:rPr>
      </w:pPr>
    </w:p>
    <w:p w:rsidR="00B83815" w:rsidRPr="002C3B5A"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C3B5A">
        <w:rPr>
          <w:rFonts w:ascii="Arial Narrow" w:hAnsi="Arial Narrow"/>
          <w:b/>
          <w:bCs/>
          <w:szCs w:val="28"/>
        </w:rPr>
        <w:t>Tipo de Cambio</w:t>
      </w:r>
    </w:p>
    <w:p w:rsidR="00B83815" w:rsidRPr="00992D26" w:rsidRDefault="00B83815" w:rsidP="00B83815">
      <w:pPr>
        <w:pStyle w:val="Sangradetextonormal"/>
        <w:ind w:left="540" w:firstLine="0"/>
        <w:jc w:val="left"/>
        <w:rPr>
          <w:rFonts w:ascii="Arial Narrow" w:hAnsi="Arial Narrow"/>
          <w:b/>
          <w:bCs/>
          <w:sz w:val="32"/>
          <w:szCs w:val="32"/>
        </w:rPr>
      </w:pPr>
    </w:p>
    <w:p w:rsidR="00B83815" w:rsidRPr="002C3B5A"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t>Durante el cuarto t</w:t>
      </w:r>
      <w:r>
        <w:rPr>
          <w:rFonts w:ascii="Arial Narrow" w:hAnsi="Arial Narrow"/>
          <w:sz w:val="22"/>
          <w:szCs w:val="22"/>
        </w:rPr>
        <w:t>rimestre de 2015</w:t>
      </w:r>
      <w:r w:rsidRPr="002C3B5A">
        <w:rPr>
          <w:rFonts w:ascii="Arial Narrow" w:hAnsi="Arial Narrow"/>
          <w:sz w:val="22"/>
          <w:szCs w:val="22"/>
        </w:rPr>
        <w:t xml:space="preserve">, el tipo de cambio del peso continuó depreciándose frente </w:t>
      </w:r>
      <w:r>
        <w:rPr>
          <w:rFonts w:ascii="Arial Narrow" w:hAnsi="Arial Narrow"/>
          <w:sz w:val="22"/>
          <w:szCs w:val="22"/>
        </w:rPr>
        <w:t>al dólar, debido</w:t>
      </w:r>
      <w:r w:rsidRPr="002C3B5A">
        <w:rPr>
          <w:rFonts w:ascii="Arial Narrow" w:hAnsi="Arial Narrow"/>
          <w:sz w:val="22"/>
          <w:szCs w:val="22"/>
        </w:rPr>
        <w:t xml:space="preserve"> </w:t>
      </w:r>
      <w:r>
        <w:rPr>
          <w:rFonts w:ascii="Arial Narrow" w:hAnsi="Arial Narrow"/>
          <w:sz w:val="22"/>
          <w:szCs w:val="22"/>
        </w:rPr>
        <w:t>principalmente al fortalecimiento de la expectativa del alza en las tasa de referencia de la Reserva Federal (FED) de los Estados Unidos de América, y su posterior incremento, así como a la persistente caída en los precios internacionales del petróleo.</w:t>
      </w:r>
    </w:p>
    <w:p w:rsidR="00B83815" w:rsidRPr="002C3B5A"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lastRenderedPageBreak/>
        <w:t>En este contexto</w:t>
      </w:r>
      <w:r>
        <w:rPr>
          <w:rFonts w:ascii="Arial Narrow" w:hAnsi="Arial Narrow"/>
          <w:sz w:val="22"/>
          <w:szCs w:val="22"/>
        </w:rPr>
        <w:t>, al cierre de diciembre de 2015</w:t>
      </w:r>
      <w:r w:rsidRPr="002C3B5A">
        <w:rPr>
          <w:rFonts w:ascii="Arial Narrow" w:hAnsi="Arial Narrow"/>
          <w:sz w:val="22"/>
          <w:szCs w:val="22"/>
        </w:rPr>
        <w:t xml:space="preserve">, el </w:t>
      </w:r>
      <w:r>
        <w:rPr>
          <w:rFonts w:ascii="Arial Narrow" w:hAnsi="Arial Narrow"/>
          <w:sz w:val="22"/>
          <w:szCs w:val="22"/>
        </w:rPr>
        <w:t>tipo de cambio se ubicó en 17.21</w:t>
      </w:r>
      <w:r w:rsidRPr="002C3B5A">
        <w:rPr>
          <w:rFonts w:ascii="Arial Narrow" w:hAnsi="Arial Narrow"/>
          <w:sz w:val="22"/>
          <w:szCs w:val="22"/>
        </w:rPr>
        <w:t xml:space="preserve"> pesos por dólar, lo q</w:t>
      </w:r>
      <w:r>
        <w:rPr>
          <w:rFonts w:ascii="Arial Narrow" w:hAnsi="Arial Narrow"/>
          <w:sz w:val="22"/>
          <w:szCs w:val="22"/>
        </w:rPr>
        <w:t>ue implicó una depreciación de 1.6</w:t>
      </w:r>
      <w:r w:rsidRPr="002C3B5A">
        <w:rPr>
          <w:rFonts w:ascii="Arial Narrow" w:hAnsi="Arial Narrow"/>
          <w:sz w:val="22"/>
          <w:szCs w:val="22"/>
        </w:rPr>
        <w:t xml:space="preserve"> por ciento respecto al nivel reportado al cierre del 30 de </w:t>
      </w:r>
      <w:r>
        <w:rPr>
          <w:rFonts w:ascii="Arial Narrow" w:hAnsi="Arial Narrow"/>
          <w:sz w:val="22"/>
          <w:szCs w:val="22"/>
        </w:rPr>
        <w:t>septiembre (16.93</w:t>
      </w:r>
      <w:r w:rsidRPr="002C3B5A">
        <w:rPr>
          <w:rFonts w:ascii="Arial Narrow" w:hAnsi="Arial Narrow"/>
          <w:sz w:val="22"/>
          <w:szCs w:val="22"/>
        </w:rPr>
        <w:t xml:space="preserve"> pesos por dólar). </w:t>
      </w:r>
    </w:p>
    <w:p w:rsidR="00B83815" w:rsidRPr="002C3B5A" w:rsidRDefault="00B83815" w:rsidP="00B83815">
      <w:pPr>
        <w:pStyle w:val="Sangradetextonormal"/>
        <w:ind w:firstLine="876"/>
        <w:rPr>
          <w:rFonts w:ascii="Arial Narrow" w:hAnsi="Arial Narrow"/>
          <w:sz w:val="22"/>
          <w:szCs w:val="22"/>
        </w:rPr>
      </w:pPr>
    </w:p>
    <w:p w:rsidR="00B83815" w:rsidRPr="002C3B5A"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t xml:space="preserve">Dicha  depreciación refleja un régimen de tipo de cambio flexible que </w:t>
      </w:r>
      <w:r>
        <w:rPr>
          <w:rFonts w:ascii="Arial Narrow" w:hAnsi="Arial Narrow"/>
          <w:sz w:val="22"/>
          <w:szCs w:val="22"/>
        </w:rPr>
        <w:t>permite amortiguar los</w:t>
      </w:r>
      <w:r w:rsidRPr="002C3B5A">
        <w:rPr>
          <w:rFonts w:ascii="Arial Narrow" w:hAnsi="Arial Narrow"/>
          <w:sz w:val="22"/>
          <w:szCs w:val="22"/>
        </w:rPr>
        <w:t xml:space="preserve"> choques externos</w:t>
      </w:r>
      <w:r>
        <w:rPr>
          <w:rFonts w:ascii="Arial Narrow" w:hAnsi="Arial Narrow"/>
          <w:sz w:val="22"/>
          <w:szCs w:val="22"/>
        </w:rPr>
        <w:t xml:space="preserve"> sobre la economía nacional.</w:t>
      </w:r>
    </w:p>
    <w:p w:rsidR="00B83815" w:rsidRPr="002C3B5A" w:rsidRDefault="00B83815" w:rsidP="00B83815">
      <w:pPr>
        <w:pStyle w:val="Sangradetextonormal"/>
        <w:ind w:firstLine="876"/>
        <w:rPr>
          <w:rFonts w:ascii="Arial Narrow" w:hAnsi="Arial Narrow"/>
          <w:sz w:val="22"/>
          <w:szCs w:val="22"/>
        </w:rPr>
      </w:pPr>
    </w:p>
    <w:p w:rsidR="00B83815" w:rsidRPr="002C3B5A"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t>Al térm</w:t>
      </w:r>
      <w:r>
        <w:rPr>
          <w:rFonts w:ascii="Arial Narrow" w:hAnsi="Arial Narrow"/>
          <w:sz w:val="22"/>
          <w:szCs w:val="22"/>
        </w:rPr>
        <w:t>ino del cuarto trimestre de 2015</w:t>
      </w:r>
      <w:r w:rsidRPr="002C3B5A">
        <w:rPr>
          <w:rFonts w:ascii="Arial Narrow" w:hAnsi="Arial Narrow"/>
          <w:sz w:val="22"/>
          <w:szCs w:val="22"/>
        </w:rPr>
        <w:t xml:space="preserve">, en línea con el tipo de cambio observado, las cotizaciones de los contratos de los futuros del peso mexicano en la Bolsa Mercantil de Chicago registraron un tipo de cambio superior al observado al finalizar el tercer trimestre del año. </w:t>
      </w:r>
    </w:p>
    <w:p w:rsidR="00B83815" w:rsidRPr="002C3B5A" w:rsidRDefault="00B83815" w:rsidP="00B83815">
      <w:pPr>
        <w:pStyle w:val="Sangradetextonormal"/>
        <w:ind w:firstLine="876"/>
        <w:rPr>
          <w:rFonts w:ascii="Arial Narrow" w:hAnsi="Arial Narrow"/>
          <w:sz w:val="22"/>
          <w:szCs w:val="22"/>
        </w:rPr>
      </w:pPr>
    </w:p>
    <w:p w:rsidR="00B83815" w:rsidRPr="002C3B5A"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t>Al ci</w:t>
      </w:r>
      <w:r>
        <w:rPr>
          <w:rFonts w:ascii="Arial Narrow" w:hAnsi="Arial Narrow"/>
          <w:sz w:val="22"/>
          <w:szCs w:val="22"/>
        </w:rPr>
        <w:t>erre del 31 de diciembre de 2015</w:t>
      </w:r>
      <w:r w:rsidRPr="002C3B5A">
        <w:rPr>
          <w:rFonts w:ascii="Arial Narrow" w:hAnsi="Arial Narrow"/>
          <w:sz w:val="22"/>
          <w:szCs w:val="22"/>
        </w:rPr>
        <w:t xml:space="preserve">, los contratos para entrega en marzo, junio, septiembre y </w:t>
      </w:r>
      <w:r>
        <w:rPr>
          <w:rFonts w:ascii="Arial Narrow" w:hAnsi="Arial Narrow"/>
          <w:sz w:val="22"/>
          <w:szCs w:val="22"/>
        </w:rPr>
        <w:t>diciembre de 2016</w:t>
      </w:r>
      <w:r w:rsidRPr="002C3B5A">
        <w:rPr>
          <w:rFonts w:ascii="Arial Narrow" w:hAnsi="Arial Narrow"/>
          <w:sz w:val="22"/>
          <w:szCs w:val="22"/>
        </w:rPr>
        <w:t xml:space="preserve"> se</w:t>
      </w:r>
      <w:r>
        <w:rPr>
          <w:rFonts w:ascii="Arial Narrow" w:hAnsi="Arial Narrow"/>
          <w:sz w:val="22"/>
          <w:szCs w:val="22"/>
        </w:rPr>
        <w:t xml:space="preserve"> depreciaron en 1.1, 1.0, 0.8 y 0.6</w:t>
      </w:r>
      <w:r w:rsidRPr="002C3B5A">
        <w:rPr>
          <w:rFonts w:ascii="Arial Narrow" w:hAnsi="Arial Narrow"/>
          <w:sz w:val="22"/>
          <w:szCs w:val="22"/>
        </w:rPr>
        <w:t xml:space="preserve"> por ciento, respectivamente, con relación a las cotizaciones registradas al cierre</w:t>
      </w:r>
      <w:r>
        <w:rPr>
          <w:rFonts w:ascii="Arial Narrow" w:hAnsi="Arial Narrow"/>
          <w:sz w:val="22"/>
          <w:szCs w:val="22"/>
        </w:rPr>
        <w:t xml:space="preserve"> de septiembre, ubicándose en 17.35, 17.46</w:t>
      </w:r>
      <w:r w:rsidRPr="002C3B5A">
        <w:rPr>
          <w:rFonts w:ascii="Arial Narrow" w:hAnsi="Arial Narrow"/>
          <w:sz w:val="22"/>
          <w:szCs w:val="22"/>
        </w:rPr>
        <w:t xml:space="preserve">, </w:t>
      </w:r>
      <w:r>
        <w:rPr>
          <w:rFonts w:ascii="Arial Narrow" w:hAnsi="Arial Narrow"/>
          <w:sz w:val="22"/>
          <w:szCs w:val="22"/>
        </w:rPr>
        <w:t>17.57 y 17.6</w:t>
      </w:r>
      <w:r w:rsidRPr="002C3B5A">
        <w:rPr>
          <w:rFonts w:ascii="Arial Narrow" w:hAnsi="Arial Narrow"/>
          <w:sz w:val="22"/>
          <w:szCs w:val="22"/>
        </w:rPr>
        <w:t>8 pesos por dólar, en igual orden.</w:t>
      </w:r>
    </w:p>
    <w:p w:rsidR="00B83815" w:rsidRPr="00992D26" w:rsidRDefault="00B83815" w:rsidP="00B83815">
      <w:pPr>
        <w:pStyle w:val="Sangradetextonormal"/>
        <w:ind w:firstLine="876"/>
        <w:rPr>
          <w:rFonts w:ascii="Arial Narrow" w:hAnsi="Arial Narrow"/>
          <w:sz w:val="25"/>
        </w:rPr>
      </w:pPr>
    </w:p>
    <w:p w:rsidR="00B83815" w:rsidRPr="00236348"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36348">
        <w:rPr>
          <w:rFonts w:ascii="Arial Narrow" w:hAnsi="Arial Narrow"/>
          <w:b/>
          <w:bCs/>
          <w:szCs w:val="28"/>
        </w:rPr>
        <w:t>Salarios</w:t>
      </w:r>
    </w:p>
    <w:p w:rsidR="00B83815" w:rsidRPr="00992D26" w:rsidRDefault="00B83815" w:rsidP="00B83815">
      <w:pPr>
        <w:pStyle w:val="Sangradetextonormal"/>
        <w:ind w:left="540" w:firstLine="0"/>
        <w:jc w:val="left"/>
        <w:rPr>
          <w:rFonts w:ascii="Arial Narrow" w:hAnsi="Arial Narrow"/>
          <w:b/>
          <w:bCs/>
          <w:sz w:val="32"/>
          <w:szCs w:val="32"/>
        </w:rPr>
      </w:pPr>
    </w:p>
    <w:p w:rsidR="00B83815" w:rsidRPr="00B92A61" w:rsidRDefault="00B83815" w:rsidP="00B83815">
      <w:pPr>
        <w:pStyle w:val="Sangradetextonormal"/>
        <w:ind w:firstLine="876"/>
        <w:rPr>
          <w:rFonts w:ascii="Arial Narrow" w:hAnsi="Arial Narrow"/>
          <w:sz w:val="22"/>
          <w:szCs w:val="22"/>
        </w:rPr>
      </w:pPr>
      <w:r w:rsidRPr="00B92A61">
        <w:rPr>
          <w:rFonts w:ascii="Arial Narrow" w:hAnsi="Arial Narrow"/>
          <w:sz w:val="22"/>
          <w:szCs w:val="22"/>
        </w:rPr>
        <w:t>Durante el periodo octubre-diciemb</w:t>
      </w:r>
      <w:r>
        <w:rPr>
          <w:rFonts w:ascii="Arial Narrow" w:hAnsi="Arial Narrow"/>
          <w:sz w:val="22"/>
          <w:szCs w:val="22"/>
        </w:rPr>
        <w:t>re de 2015</w:t>
      </w:r>
      <w:r w:rsidRPr="00B92A61">
        <w:rPr>
          <w:rFonts w:ascii="Arial Narrow" w:hAnsi="Arial Narrow"/>
          <w:sz w:val="22"/>
          <w:szCs w:val="22"/>
        </w:rPr>
        <w:t xml:space="preserve"> los salarios contractuales de jurisdicción federal </w:t>
      </w:r>
      <w:r>
        <w:rPr>
          <w:rFonts w:ascii="Arial Narrow" w:hAnsi="Arial Narrow"/>
          <w:sz w:val="22"/>
          <w:szCs w:val="22"/>
        </w:rPr>
        <w:t>registraron un incremento de 3.7</w:t>
      </w:r>
      <w:r w:rsidRPr="00B92A61">
        <w:rPr>
          <w:rFonts w:ascii="Arial Narrow" w:hAnsi="Arial Narrow"/>
          <w:sz w:val="22"/>
          <w:szCs w:val="22"/>
        </w:rPr>
        <w:t xml:space="preserve"> p</w:t>
      </w:r>
      <w:r>
        <w:rPr>
          <w:rFonts w:ascii="Arial Narrow" w:hAnsi="Arial Narrow"/>
          <w:sz w:val="22"/>
          <w:szCs w:val="22"/>
        </w:rPr>
        <w:t>or ciento en términos nominales, teniendo un crecimiento real en el año de 1.3 por ciento, que representa el mayor aumento desde 2001.</w:t>
      </w:r>
      <w:r w:rsidRPr="00B92A61">
        <w:rPr>
          <w:rFonts w:ascii="Arial Narrow" w:hAnsi="Arial Narrow"/>
          <w:sz w:val="22"/>
          <w:szCs w:val="22"/>
        </w:rPr>
        <w:t xml:space="preserve"> En el bi</w:t>
      </w:r>
      <w:r>
        <w:rPr>
          <w:rFonts w:ascii="Arial Narrow" w:hAnsi="Arial Narrow"/>
          <w:sz w:val="22"/>
          <w:szCs w:val="22"/>
        </w:rPr>
        <w:t>mestre octubre-noviembre de 2015</w:t>
      </w:r>
      <w:r w:rsidRPr="00B92A61">
        <w:rPr>
          <w:rFonts w:ascii="Arial Narrow" w:hAnsi="Arial Narrow"/>
          <w:sz w:val="22"/>
          <w:szCs w:val="22"/>
        </w:rPr>
        <w:t xml:space="preserve"> las remuneraciones reales por persona ocupada en la industria manufacturera crecieron </w:t>
      </w:r>
      <w:r>
        <w:rPr>
          <w:rFonts w:ascii="Arial Narrow" w:hAnsi="Arial Narrow"/>
          <w:sz w:val="22"/>
          <w:szCs w:val="22"/>
        </w:rPr>
        <w:t>a una tasa anual de 1.1</w:t>
      </w:r>
      <w:r w:rsidRPr="00B92A61">
        <w:rPr>
          <w:rFonts w:ascii="Arial Narrow" w:hAnsi="Arial Narrow"/>
          <w:sz w:val="22"/>
          <w:szCs w:val="22"/>
        </w:rPr>
        <w:t xml:space="preserve"> por cie</w:t>
      </w:r>
      <w:r>
        <w:rPr>
          <w:rFonts w:ascii="Arial Narrow" w:hAnsi="Arial Narrow"/>
          <w:sz w:val="22"/>
          <w:szCs w:val="22"/>
        </w:rPr>
        <w:t>nto. Los salarios y los sueldos se incrementaron 0.6, y 2.0</w:t>
      </w:r>
      <w:r w:rsidRPr="00B92A61">
        <w:rPr>
          <w:rFonts w:ascii="Arial Narrow" w:hAnsi="Arial Narrow"/>
          <w:sz w:val="22"/>
          <w:szCs w:val="22"/>
        </w:rPr>
        <w:t xml:space="preserve"> por ciento, respectivamente.  </w:t>
      </w:r>
    </w:p>
    <w:p w:rsidR="00B83815" w:rsidRPr="00992D26" w:rsidRDefault="00B83815" w:rsidP="00B83815">
      <w:pPr>
        <w:pStyle w:val="Sangradetextonormal"/>
        <w:ind w:firstLine="876"/>
        <w:rPr>
          <w:rFonts w:ascii="Arial Narrow" w:hAnsi="Arial Narrow"/>
          <w:sz w:val="25"/>
        </w:rPr>
      </w:pPr>
    </w:p>
    <w:p w:rsidR="00B83815" w:rsidRPr="00B92A61" w:rsidRDefault="00B83815" w:rsidP="00B83815">
      <w:pPr>
        <w:pStyle w:val="Sangradetextonormal"/>
        <w:ind w:firstLine="876"/>
        <w:rPr>
          <w:rFonts w:ascii="Arial Narrow" w:hAnsi="Arial Narrow"/>
          <w:sz w:val="22"/>
          <w:szCs w:val="22"/>
        </w:rPr>
      </w:pPr>
      <w:r w:rsidRPr="00B92A61">
        <w:rPr>
          <w:rFonts w:ascii="Arial Narrow" w:hAnsi="Arial Narrow"/>
          <w:sz w:val="22"/>
          <w:szCs w:val="22"/>
        </w:rPr>
        <w:t>A lo largo del mismo periodo, las remuneraciones r</w:t>
      </w:r>
      <w:r>
        <w:rPr>
          <w:rFonts w:ascii="Arial Narrow" w:hAnsi="Arial Narrow"/>
          <w:sz w:val="22"/>
          <w:szCs w:val="22"/>
        </w:rPr>
        <w:t>eales del personal ocupado en los</w:t>
      </w:r>
      <w:r w:rsidRPr="00B92A61">
        <w:rPr>
          <w:rFonts w:ascii="Arial Narrow" w:hAnsi="Arial Narrow"/>
          <w:sz w:val="22"/>
          <w:szCs w:val="22"/>
        </w:rPr>
        <w:t xml:space="preserve"> comercio</w:t>
      </w:r>
      <w:r>
        <w:rPr>
          <w:rFonts w:ascii="Arial Narrow" w:hAnsi="Arial Narrow"/>
          <w:sz w:val="22"/>
          <w:szCs w:val="22"/>
        </w:rPr>
        <w:t>s al menudeo</w:t>
      </w:r>
      <w:r w:rsidRPr="00B92A61">
        <w:rPr>
          <w:rFonts w:ascii="Arial Narrow" w:hAnsi="Arial Narrow"/>
          <w:sz w:val="22"/>
          <w:szCs w:val="22"/>
        </w:rPr>
        <w:t xml:space="preserve"> </w:t>
      </w:r>
      <w:r>
        <w:rPr>
          <w:rFonts w:ascii="Arial Narrow" w:hAnsi="Arial Narrow"/>
          <w:sz w:val="22"/>
          <w:szCs w:val="22"/>
        </w:rPr>
        <w:t>crecieron a una tasa anual de 4.6</w:t>
      </w:r>
      <w:r w:rsidRPr="00B92A61">
        <w:rPr>
          <w:rFonts w:ascii="Arial Narrow" w:hAnsi="Arial Narrow"/>
          <w:sz w:val="22"/>
          <w:szCs w:val="22"/>
        </w:rPr>
        <w:t xml:space="preserve"> por cien</w:t>
      </w:r>
      <w:r>
        <w:rPr>
          <w:rFonts w:ascii="Arial Narrow" w:hAnsi="Arial Narrow"/>
          <w:sz w:val="22"/>
          <w:szCs w:val="22"/>
        </w:rPr>
        <w:t>to y en el comercio al mayoreo avanzaron</w:t>
      </w:r>
      <w:r w:rsidRPr="00B92A61">
        <w:rPr>
          <w:rFonts w:ascii="Arial Narrow" w:hAnsi="Arial Narrow"/>
          <w:sz w:val="22"/>
          <w:szCs w:val="22"/>
        </w:rPr>
        <w:t xml:space="preserve"> a un </w:t>
      </w:r>
      <w:r>
        <w:rPr>
          <w:rFonts w:ascii="Arial Narrow" w:hAnsi="Arial Narrow"/>
          <w:sz w:val="22"/>
          <w:szCs w:val="22"/>
        </w:rPr>
        <w:t>ritmo anual de 9.4</w:t>
      </w:r>
      <w:r w:rsidRPr="00B92A61">
        <w:rPr>
          <w:rFonts w:ascii="Arial Narrow" w:hAnsi="Arial Narrow"/>
          <w:sz w:val="22"/>
          <w:szCs w:val="22"/>
        </w:rPr>
        <w:t xml:space="preserve"> por ciento.</w:t>
      </w:r>
    </w:p>
    <w:p w:rsidR="00B83815" w:rsidRPr="00992D26" w:rsidRDefault="00B83815" w:rsidP="00B83815">
      <w:pPr>
        <w:pStyle w:val="Sangradetextonormal"/>
        <w:ind w:firstLine="876"/>
        <w:rPr>
          <w:rFonts w:ascii="Arial Narrow" w:hAnsi="Arial Narrow"/>
          <w:sz w:val="25"/>
        </w:rPr>
      </w:pPr>
    </w:p>
    <w:p w:rsidR="00B83815" w:rsidRPr="0012519F" w:rsidRDefault="00B83815" w:rsidP="00B83815">
      <w:pPr>
        <w:pStyle w:val="Sangradetextonormal"/>
        <w:ind w:firstLine="876"/>
        <w:rPr>
          <w:rFonts w:ascii="Arial Narrow" w:hAnsi="Arial Narrow"/>
          <w:sz w:val="22"/>
          <w:szCs w:val="22"/>
        </w:rPr>
      </w:pPr>
      <w:r w:rsidRPr="0012519F">
        <w:rPr>
          <w:rFonts w:ascii="Arial Narrow" w:hAnsi="Arial Narrow"/>
          <w:sz w:val="22"/>
          <w:szCs w:val="22"/>
        </w:rPr>
        <w:lastRenderedPageBreak/>
        <w:t xml:space="preserve">En el bimestre octubre - </w:t>
      </w:r>
      <w:r>
        <w:rPr>
          <w:rFonts w:ascii="Arial Narrow" w:hAnsi="Arial Narrow"/>
          <w:sz w:val="22"/>
          <w:szCs w:val="22"/>
        </w:rPr>
        <w:t>noviembre de 2015</w:t>
      </w:r>
      <w:r w:rsidRPr="0012519F">
        <w:rPr>
          <w:rFonts w:ascii="Arial Narrow" w:hAnsi="Arial Narrow"/>
          <w:sz w:val="22"/>
          <w:szCs w:val="22"/>
        </w:rPr>
        <w:t xml:space="preserve"> la productividad de la mano de obra en la </w:t>
      </w:r>
      <w:r>
        <w:rPr>
          <w:rFonts w:ascii="Arial Narrow" w:hAnsi="Arial Narrow"/>
          <w:sz w:val="22"/>
          <w:szCs w:val="22"/>
        </w:rPr>
        <w:t>industria manufacturera registró una disminución anual de 1.0</w:t>
      </w:r>
      <w:r w:rsidRPr="0012519F">
        <w:rPr>
          <w:rFonts w:ascii="Arial Narrow" w:hAnsi="Arial Narrow"/>
          <w:sz w:val="22"/>
          <w:szCs w:val="22"/>
        </w:rPr>
        <w:t xml:space="preserve"> por ciento, en tanto que los costos unitarios de l</w:t>
      </w:r>
      <w:r>
        <w:rPr>
          <w:rFonts w:ascii="Arial Narrow" w:hAnsi="Arial Narrow"/>
          <w:sz w:val="22"/>
          <w:szCs w:val="22"/>
        </w:rPr>
        <w:t>a mano de obra en esta actividad se expandieron a un ritmo anual de 2.8</w:t>
      </w:r>
      <w:r w:rsidRPr="0012519F">
        <w:rPr>
          <w:rFonts w:ascii="Arial Narrow" w:hAnsi="Arial Narrow"/>
          <w:sz w:val="22"/>
          <w:szCs w:val="22"/>
        </w:rPr>
        <w:t xml:space="preserve"> por ciento.</w:t>
      </w: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E05E72"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E05E72">
        <w:rPr>
          <w:rFonts w:ascii="Arial Narrow" w:hAnsi="Arial Narrow"/>
          <w:b/>
          <w:bCs/>
          <w:szCs w:val="28"/>
        </w:rPr>
        <w:t>Déficit Público</w:t>
      </w:r>
    </w:p>
    <w:p w:rsidR="00B83815" w:rsidRPr="00992D26" w:rsidRDefault="00B83815" w:rsidP="00B83815">
      <w:pPr>
        <w:pStyle w:val="Sangradetextonormal"/>
        <w:ind w:left="540" w:firstLine="0"/>
        <w:jc w:val="left"/>
        <w:rPr>
          <w:rFonts w:ascii="Arial Narrow" w:hAnsi="Arial Narrow"/>
          <w:b/>
          <w:bCs/>
          <w:sz w:val="32"/>
          <w:szCs w:val="32"/>
        </w:rPr>
      </w:pPr>
    </w:p>
    <w:p w:rsidR="00B83815" w:rsidRPr="00E05E72" w:rsidRDefault="00B83815" w:rsidP="00B83815">
      <w:pPr>
        <w:pStyle w:val="Sangradetextonormal"/>
        <w:ind w:firstLine="876"/>
        <w:rPr>
          <w:rFonts w:ascii="Arial Narrow" w:hAnsi="Arial Narrow"/>
          <w:sz w:val="22"/>
          <w:szCs w:val="22"/>
        </w:rPr>
      </w:pPr>
      <w:r w:rsidRPr="00E05E72">
        <w:rPr>
          <w:rFonts w:ascii="Arial Narrow" w:hAnsi="Arial Narrow"/>
          <w:sz w:val="22"/>
          <w:szCs w:val="22"/>
        </w:rPr>
        <w:t xml:space="preserve">El déficit público fue de </w:t>
      </w:r>
      <w:r>
        <w:rPr>
          <w:rFonts w:ascii="Arial Narrow" w:hAnsi="Arial Narrow"/>
          <w:sz w:val="22"/>
          <w:szCs w:val="22"/>
        </w:rPr>
        <w:t>637 mil 627</w:t>
      </w:r>
      <w:r w:rsidRPr="00E05E72">
        <w:rPr>
          <w:rFonts w:ascii="Arial Narrow" w:hAnsi="Arial Narrow"/>
          <w:sz w:val="22"/>
          <w:szCs w:val="22"/>
        </w:rPr>
        <w:t xml:space="preserve"> millones de peso</w:t>
      </w:r>
      <w:r>
        <w:rPr>
          <w:rFonts w:ascii="Arial Narrow" w:hAnsi="Arial Narrow"/>
          <w:sz w:val="22"/>
          <w:szCs w:val="22"/>
        </w:rPr>
        <w:t>s, monto mayor al déficit de 543</w:t>
      </w:r>
      <w:r w:rsidRPr="00E05E72">
        <w:rPr>
          <w:rFonts w:ascii="Arial Narrow" w:hAnsi="Arial Narrow"/>
          <w:sz w:val="22"/>
          <w:szCs w:val="22"/>
        </w:rPr>
        <w:t xml:space="preserve"> mil</w:t>
      </w:r>
      <w:r>
        <w:rPr>
          <w:rFonts w:ascii="Arial Narrow" w:hAnsi="Arial Narrow"/>
          <w:sz w:val="22"/>
          <w:szCs w:val="22"/>
        </w:rPr>
        <w:t xml:space="preserve"> 76</w:t>
      </w:r>
      <w:r w:rsidRPr="00E05E72">
        <w:rPr>
          <w:rFonts w:ascii="Arial Narrow" w:hAnsi="Arial Narrow"/>
          <w:sz w:val="22"/>
          <w:szCs w:val="22"/>
        </w:rPr>
        <w:t xml:space="preserve"> millones de pesos observado en el </w:t>
      </w:r>
      <w:r>
        <w:rPr>
          <w:rFonts w:ascii="Arial Narrow" w:hAnsi="Arial Narrow"/>
          <w:sz w:val="22"/>
          <w:szCs w:val="22"/>
        </w:rPr>
        <w:t>mismo periodo de 2014</w:t>
      </w:r>
      <w:r w:rsidRPr="00E05E72">
        <w:rPr>
          <w:rFonts w:ascii="Arial Narrow" w:hAnsi="Arial Narrow"/>
          <w:sz w:val="22"/>
          <w:szCs w:val="22"/>
        </w:rPr>
        <w:t>. Dicho resultado, según reporta la Secretaría de Hacienda y Crédito Público (SHCP), se conforma de la siguiente manera:</w:t>
      </w: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E05E72" w:rsidRDefault="00B83815" w:rsidP="00B83815">
      <w:pPr>
        <w:pStyle w:val="Sangradetextonormal"/>
        <w:ind w:firstLine="876"/>
        <w:rPr>
          <w:rFonts w:ascii="Arial Narrow" w:hAnsi="Arial Narrow"/>
          <w:sz w:val="22"/>
          <w:szCs w:val="22"/>
        </w:rPr>
      </w:pPr>
      <w:r w:rsidRPr="00E05E72">
        <w:rPr>
          <w:rFonts w:ascii="Arial Narrow" w:hAnsi="Arial Narrow"/>
          <w:sz w:val="22"/>
          <w:szCs w:val="22"/>
        </w:rPr>
        <w:t>Déficit del Gobierno Federal</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t xml:space="preserve">     </w:t>
      </w:r>
      <w:r>
        <w:rPr>
          <w:rFonts w:ascii="Arial Narrow" w:hAnsi="Arial Narrow"/>
          <w:sz w:val="22"/>
          <w:szCs w:val="22"/>
        </w:rPr>
        <w:t>548,41</w:t>
      </w:r>
      <w:r w:rsidRPr="00E05E72">
        <w:rPr>
          <w:rFonts w:ascii="Arial Narrow" w:hAnsi="Arial Narrow"/>
          <w:sz w:val="22"/>
          <w:szCs w:val="22"/>
        </w:rPr>
        <w:t>6</w:t>
      </w:r>
    </w:p>
    <w:p w:rsidR="00B83815" w:rsidRPr="001717C1" w:rsidRDefault="00B83815" w:rsidP="00B83815">
      <w:pPr>
        <w:pStyle w:val="Sangradetextonormal"/>
        <w:ind w:firstLine="876"/>
        <w:rPr>
          <w:rFonts w:ascii="Arial Narrow" w:hAnsi="Arial Narrow"/>
          <w:sz w:val="22"/>
          <w:szCs w:val="22"/>
          <w:u w:val="single"/>
        </w:rPr>
      </w:pPr>
      <w:r w:rsidRPr="00E05E72">
        <w:rPr>
          <w:rFonts w:ascii="Arial Narrow" w:hAnsi="Arial Narrow"/>
          <w:sz w:val="22"/>
          <w:szCs w:val="22"/>
        </w:rPr>
        <w:t xml:space="preserve">  </w:t>
      </w:r>
      <w:r w:rsidRPr="001717C1">
        <w:rPr>
          <w:rFonts w:ascii="Arial Narrow" w:hAnsi="Arial Narrow"/>
          <w:sz w:val="22"/>
          <w:szCs w:val="22"/>
          <w:u w:val="single"/>
        </w:rPr>
        <w:t xml:space="preserve">Más: </w:t>
      </w:r>
    </w:p>
    <w:p w:rsidR="00B83815" w:rsidRDefault="00B83815" w:rsidP="00B83815">
      <w:pPr>
        <w:pStyle w:val="Sangradetextonormal"/>
        <w:spacing w:line="240" w:lineRule="exact"/>
        <w:ind w:left="1247" w:firstLine="170"/>
        <w:rPr>
          <w:rFonts w:ascii="Arial Narrow" w:hAnsi="Arial Narrow"/>
          <w:sz w:val="22"/>
          <w:szCs w:val="22"/>
        </w:rPr>
      </w:pPr>
      <w:r>
        <w:rPr>
          <w:rFonts w:ascii="Arial Narrow" w:hAnsi="Arial Narrow"/>
          <w:sz w:val="22"/>
          <w:szCs w:val="22"/>
        </w:rPr>
        <w:t>Déficit de las Empresas Productivas del Estado</w:t>
      </w:r>
      <w:r>
        <w:rPr>
          <w:rFonts w:ascii="Arial Narrow" w:hAnsi="Arial Narrow"/>
          <w:sz w:val="22"/>
          <w:szCs w:val="22"/>
        </w:rPr>
        <w:tab/>
        <w:t>118,031</w:t>
      </w:r>
    </w:p>
    <w:p w:rsidR="00B83815" w:rsidRDefault="00B83815" w:rsidP="00B83815">
      <w:pPr>
        <w:pStyle w:val="Sangradetextonormal"/>
        <w:spacing w:line="240" w:lineRule="exact"/>
        <w:ind w:left="1247" w:firstLine="170"/>
        <w:rPr>
          <w:rFonts w:ascii="Arial Narrow" w:hAnsi="Arial Narrow"/>
          <w:sz w:val="22"/>
          <w:szCs w:val="22"/>
        </w:rPr>
      </w:pPr>
    </w:p>
    <w:p w:rsidR="00B83815" w:rsidRPr="00E05E72" w:rsidRDefault="00B83815" w:rsidP="00B83815">
      <w:pPr>
        <w:pStyle w:val="Sangradetextonormal"/>
        <w:spacing w:line="240" w:lineRule="exact"/>
        <w:ind w:left="1247" w:firstLine="170"/>
        <w:rPr>
          <w:rFonts w:ascii="Arial Narrow" w:hAnsi="Arial Narrow"/>
          <w:sz w:val="22"/>
          <w:szCs w:val="22"/>
        </w:rPr>
      </w:pPr>
      <w:r w:rsidRPr="00E05E72">
        <w:rPr>
          <w:rFonts w:ascii="Arial Narrow" w:hAnsi="Arial Narrow"/>
          <w:sz w:val="22"/>
          <w:szCs w:val="22"/>
        </w:rPr>
        <w:t xml:space="preserve">Déficit de las Entidades bajo Control </w:t>
      </w:r>
    </w:p>
    <w:p w:rsidR="00B83815" w:rsidRPr="00133803" w:rsidRDefault="00B83815" w:rsidP="00B83815">
      <w:pPr>
        <w:pStyle w:val="Sangradetextonormal"/>
        <w:spacing w:line="240" w:lineRule="exact"/>
        <w:ind w:left="1247" w:firstLine="170"/>
        <w:rPr>
          <w:rFonts w:ascii="Arial Narrow" w:hAnsi="Arial Narrow"/>
          <w:sz w:val="22"/>
          <w:szCs w:val="22"/>
        </w:rPr>
      </w:pPr>
      <w:r w:rsidRPr="00E05E72">
        <w:rPr>
          <w:rFonts w:ascii="Arial Narrow" w:hAnsi="Arial Narrow"/>
          <w:sz w:val="22"/>
          <w:szCs w:val="22"/>
        </w:rPr>
        <w:t xml:space="preserve">Presupuestario </w:t>
      </w:r>
      <w:r>
        <w:rPr>
          <w:rFonts w:ascii="Arial Narrow" w:hAnsi="Arial Narrow"/>
          <w:sz w:val="22"/>
          <w:szCs w:val="22"/>
        </w:rPr>
        <w:t>Ind</w:t>
      </w:r>
      <w:r w:rsidRPr="00E05E72">
        <w:rPr>
          <w:rFonts w:ascii="Arial Narrow" w:hAnsi="Arial Narrow"/>
          <w:sz w:val="22"/>
          <w:szCs w:val="22"/>
        </w:rPr>
        <w:t>irecto</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Pr>
          <w:rFonts w:ascii="Arial Narrow" w:hAnsi="Arial Narrow"/>
          <w:sz w:val="22"/>
          <w:szCs w:val="22"/>
          <w:u w:val="single"/>
        </w:rPr>
        <w:t xml:space="preserve">  10,203</w:t>
      </w:r>
      <w:r>
        <w:rPr>
          <w:rFonts w:ascii="Arial Narrow" w:hAnsi="Arial Narrow"/>
          <w:sz w:val="22"/>
          <w:szCs w:val="22"/>
        </w:rPr>
        <w:tab/>
        <w:t xml:space="preserve">     </w:t>
      </w:r>
      <w:r w:rsidRPr="00133803">
        <w:rPr>
          <w:rFonts w:ascii="Arial Narrow" w:hAnsi="Arial Narrow"/>
          <w:sz w:val="22"/>
          <w:szCs w:val="22"/>
          <w:u w:val="single"/>
        </w:rPr>
        <w:t>128,234</w:t>
      </w:r>
    </w:p>
    <w:p w:rsidR="00B83815" w:rsidRDefault="00B83815" w:rsidP="00B83815">
      <w:pPr>
        <w:pStyle w:val="Sangradetextonormal"/>
        <w:ind w:left="1248" w:firstLine="168"/>
        <w:rPr>
          <w:rFonts w:ascii="Arial Narrow" w:hAnsi="Arial Narrow"/>
          <w:sz w:val="22"/>
          <w:szCs w:val="22"/>
        </w:rPr>
      </w:pP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p>
    <w:p w:rsidR="00B83815" w:rsidRPr="00E05E72" w:rsidRDefault="00B83815" w:rsidP="00B83815">
      <w:pPr>
        <w:pStyle w:val="Sangradetextonormal"/>
        <w:ind w:left="5496" w:firstLine="168"/>
        <w:rPr>
          <w:rFonts w:ascii="Arial Narrow" w:hAnsi="Arial Narrow"/>
          <w:sz w:val="22"/>
          <w:szCs w:val="22"/>
        </w:rPr>
      </w:pPr>
      <w:r w:rsidRPr="00E05E72">
        <w:rPr>
          <w:rFonts w:ascii="Arial Narrow" w:hAnsi="Arial Narrow"/>
          <w:sz w:val="22"/>
          <w:szCs w:val="22"/>
        </w:rPr>
        <w:t xml:space="preserve">Suma:        </w:t>
      </w:r>
      <w:r>
        <w:rPr>
          <w:rFonts w:ascii="Arial Narrow" w:hAnsi="Arial Narrow"/>
          <w:sz w:val="22"/>
          <w:szCs w:val="22"/>
        </w:rPr>
        <w:t xml:space="preserve"> 676,650</w:t>
      </w:r>
    </w:p>
    <w:p w:rsidR="00B83815" w:rsidRPr="001717C1" w:rsidRDefault="00B83815" w:rsidP="00B83815">
      <w:pPr>
        <w:pStyle w:val="Sangradetextonormal"/>
        <w:rPr>
          <w:rFonts w:ascii="Arial Narrow" w:hAnsi="Arial Narrow"/>
          <w:sz w:val="22"/>
          <w:szCs w:val="22"/>
          <w:u w:val="single"/>
        </w:rPr>
      </w:pPr>
      <w:r w:rsidRPr="00E05E72">
        <w:rPr>
          <w:rFonts w:ascii="Arial Narrow" w:hAnsi="Arial Narrow"/>
          <w:sz w:val="22"/>
          <w:szCs w:val="22"/>
        </w:rPr>
        <w:t xml:space="preserve">     </w:t>
      </w:r>
      <w:r w:rsidRPr="001717C1">
        <w:rPr>
          <w:rFonts w:ascii="Arial Narrow" w:hAnsi="Arial Narrow"/>
          <w:sz w:val="22"/>
          <w:szCs w:val="22"/>
          <w:u w:val="single"/>
        </w:rPr>
        <w:t>Menos:</w:t>
      </w:r>
    </w:p>
    <w:p w:rsidR="00B83815" w:rsidRPr="00E05E72" w:rsidRDefault="00B83815" w:rsidP="00B83815">
      <w:pPr>
        <w:pStyle w:val="Sangradetextonormal"/>
        <w:spacing w:line="240" w:lineRule="auto"/>
        <w:ind w:left="539" w:firstLine="873"/>
        <w:rPr>
          <w:rFonts w:ascii="Arial Narrow" w:hAnsi="Arial Narrow"/>
          <w:sz w:val="22"/>
          <w:szCs w:val="22"/>
        </w:rPr>
      </w:pPr>
      <w:r>
        <w:rPr>
          <w:rFonts w:ascii="Arial Narrow" w:hAnsi="Arial Narrow"/>
          <w:sz w:val="22"/>
          <w:szCs w:val="22"/>
        </w:rPr>
        <w:t>Superávit de Organismos de C</w:t>
      </w:r>
      <w:r w:rsidRPr="00E05E72">
        <w:rPr>
          <w:rFonts w:ascii="Arial Narrow" w:hAnsi="Arial Narrow"/>
          <w:sz w:val="22"/>
          <w:szCs w:val="22"/>
        </w:rPr>
        <w:t xml:space="preserve">ontrol </w:t>
      </w:r>
    </w:p>
    <w:p w:rsidR="00B83815" w:rsidRPr="00E05E72" w:rsidRDefault="00B83815" w:rsidP="00B83815">
      <w:pPr>
        <w:pStyle w:val="Sangradetextonormal"/>
        <w:spacing w:line="240" w:lineRule="auto"/>
        <w:ind w:left="539" w:firstLine="873"/>
        <w:rPr>
          <w:rFonts w:ascii="Arial Narrow" w:hAnsi="Arial Narrow"/>
          <w:sz w:val="22"/>
          <w:szCs w:val="22"/>
          <w:u w:val="single"/>
        </w:rPr>
      </w:pPr>
      <w:r>
        <w:rPr>
          <w:rFonts w:ascii="Arial Narrow" w:hAnsi="Arial Narrow"/>
          <w:sz w:val="22"/>
          <w:szCs w:val="22"/>
        </w:rPr>
        <w:t>Presupuestario D</w:t>
      </w:r>
      <w:r w:rsidRPr="00E05E72">
        <w:rPr>
          <w:rFonts w:ascii="Arial Narrow" w:hAnsi="Arial Narrow"/>
          <w:sz w:val="22"/>
          <w:szCs w:val="22"/>
        </w:rPr>
        <w:t>irecto</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3C2415">
        <w:rPr>
          <w:rFonts w:ascii="Arial Narrow" w:hAnsi="Arial Narrow"/>
          <w:sz w:val="22"/>
          <w:szCs w:val="22"/>
        </w:rPr>
        <w:t xml:space="preserve">     </w:t>
      </w:r>
      <w:r w:rsidRPr="00E05E72">
        <w:rPr>
          <w:rFonts w:ascii="Arial Narrow" w:hAnsi="Arial Narrow"/>
          <w:sz w:val="22"/>
          <w:szCs w:val="22"/>
          <w:u w:val="single"/>
        </w:rPr>
        <w:t xml:space="preserve">   </w:t>
      </w:r>
      <w:r>
        <w:rPr>
          <w:rFonts w:ascii="Arial Narrow" w:hAnsi="Arial Narrow"/>
          <w:sz w:val="22"/>
          <w:szCs w:val="22"/>
          <w:u w:val="single"/>
        </w:rPr>
        <w:t>39,023</w:t>
      </w:r>
    </w:p>
    <w:p w:rsidR="00B83815" w:rsidRPr="00E05E72" w:rsidRDefault="00B83815" w:rsidP="00B83815">
      <w:pPr>
        <w:pStyle w:val="Sangradetextonormal"/>
        <w:ind w:left="2664" w:firstLine="876"/>
        <w:rPr>
          <w:rFonts w:ascii="Arial Narrow" w:hAnsi="Arial Narrow"/>
          <w:sz w:val="22"/>
          <w:szCs w:val="22"/>
        </w:rPr>
      </w:pPr>
    </w:p>
    <w:p w:rsidR="00B83815" w:rsidRPr="00E05E72" w:rsidRDefault="00B83815" w:rsidP="00B83815">
      <w:pPr>
        <w:pStyle w:val="Sangradetextonormal"/>
        <w:ind w:left="2664" w:firstLine="876"/>
        <w:rPr>
          <w:rFonts w:ascii="Arial Narrow" w:hAnsi="Arial Narrow"/>
          <w:sz w:val="22"/>
          <w:szCs w:val="22"/>
        </w:rPr>
      </w:pPr>
      <w:r w:rsidRPr="00E05E72">
        <w:rPr>
          <w:rFonts w:ascii="Arial Narrow" w:hAnsi="Arial Narrow"/>
          <w:sz w:val="22"/>
          <w:szCs w:val="22"/>
        </w:rPr>
        <w:t>Déficit Público:</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t xml:space="preserve">     </w:t>
      </w:r>
      <w:r>
        <w:rPr>
          <w:rFonts w:ascii="Arial Narrow" w:hAnsi="Arial Narrow"/>
          <w:sz w:val="22"/>
          <w:szCs w:val="22"/>
        </w:rPr>
        <w:t xml:space="preserve"> </w:t>
      </w:r>
      <w:r w:rsidRPr="000616EB">
        <w:rPr>
          <w:rFonts w:ascii="Arial Narrow" w:hAnsi="Arial Narrow"/>
          <w:sz w:val="22"/>
          <w:szCs w:val="22"/>
          <w:u w:val="double"/>
        </w:rPr>
        <w:t>637,627</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p>
    <w:p w:rsidR="00B83815" w:rsidRPr="00E05E72" w:rsidRDefault="00B83815" w:rsidP="00B83815">
      <w:pPr>
        <w:pStyle w:val="Sangradetextonormal"/>
        <w:ind w:firstLine="876"/>
        <w:rPr>
          <w:rFonts w:ascii="Arial Narrow" w:hAnsi="Arial Narrow"/>
          <w:sz w:val="22"/>
          <w:szCs w:val="22"/>
        </w:rPr>
      </w:pPr>
      <w:r>
        <w:rPr>
          <w:rFonts w:ascii="Arial Narrow" w:hAnsi="Arial Narrow"/>
          <w:sz w:val="22"/>
          <w:szCs w:val="22"/>
        </w:rPr>
        <w:t>Excluyendo la inversión productiva</w:t>
      </w:r>
      <w:r w:rsidRPr="00E05E72">
        <w:rPr>
          <w:rFonts w:ascii="Arial Narrow" w:hAnsi="Arial Narrow"/>
          <w:sz w:val="22"/>
          <w:szCs w:val="22"/>
        </w:rPr>
        <w:t xml:space="preserve">, el déficit público fue de </w:t>
      </w:r>
      <w:r>
        <w:rPr>
          <w:rFonts w:ascii="Arial Narrow" w:hAnsi="Arial Narrow"/>
          <w:sz w:val="22"/>
          <w:szCs w:val="22"/>
        </w:rPr>
        <w:t>184 mil 326</w:t>
      </w:r>
      <w:r w:rsidRPr="00E05E72">
        <w:rPr>
          <w:rFonts w:ascii="Arial Narrow" w:hAnsi="Arial Narrow"/>
          <w:sz w:val="22"/>
          <w:szCs w:val="22"/>
        </w:rPr>
        <w:t xml:space="preserve"> millones de pesos.</w:t>
      </w:r>
    </w:p>
    <w:p w:rsidR="00B83815"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lastRenderedPageBreak/>
        <w:t>2.1.1.3.- Postura Fiscal</w:t>
      </w: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tab/>
      </w: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t>Política Fiscal</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3C2415" w:rsidRDefault="00B83815" w:rsidP="00B83815">
      <w:pPr>
        <w:pStyle w:val="Sangradetextonormal"/>
        <w:ind w:firstLine="876"/>
        <w:rPr>
          <w:rFonts w:ascii="Arial Narrow" w:hAnsi="Arial Narrow"/>
          <w:sz w:val="22"/>
          <w:szCs w:val="22"/>
        </w:rPr>
      </w:pPr>
      <w:r w:rsidRPr="003C2415">
        <w:rPr>
          <w:rFonts w:ascii="Arial Narrow" w:hAnsi="Arial Narrow"/>
          <w:sz w:val="22"/>
          <w:szCs w:val="22"/>
        </w:rPr>
        <w:t xml:space="preserve">La administración federal actual sostiene que la política fiscal deberá otorgar su máxima contribución al desarrollo nacional y al bienestar de las familias, a través de potenciar su fortaleza como mecanismo contracíclico primordial, sustentado en el manejo sólido y prudente de las finanzas nacionales, </w:t>
      </w:r>
      <w:r>
        <w:rPr>
          <w:rFonts w:ascii="Arial Narrow" w:hAnsi="Arial Narrow"/>
          <w:sz w:val="22"/>
          <w:szCs w:val="22"/>
        </w:rPr>
        <w:t xml:space="preserve">garantizando </w:t>
      </w:r>
      <w:r w:rsidRPr="003C2415">
        <w:rPr>
          <w:rFonts w:ascii="Arial Narrow" w:hAnsi="Arial Narrow"/>
          <w:sz w:val="22"/>
          <w:szCs w:val="22"/>
        </w:rPr>
        <w:t xml:space="preserve"> la sostenibilidad de la hacienda pública como condición fundamental de la estabilidad macroeconómica.</w:t>
      </w:r>
    </w:p>
    <w:p w:rsidR="00B83815" w:rsidRPr="003C2415" w:rsidRDefault="00B83815" w:rsidP="00B83815">
      <w:pPr>
        <w:pStyle w:val="Sangradetextonormal"/>
        <w:ind w:firstLine="876"/>
        <w:rPr>
          <w:rFonts w:ascii="Arial Narrow" w:hAnsi="Arial Narrow"/>
          <w:sz w:val="22"/>
          <w:szCs w:val="22"/>
        </w:rPr>
      </w:pPr>
    </w:p>
    <w:p w:rsidR="00B83815" w:rsidRDefault="00B83815" w:rsidP="00B83815">
      <w:pPr>
        <w:pStyle w:val="Sangradetextonormal"/>
        <w:ind w:firstLine="876"/>
        <w:rPr>
          <w:rFonts w:ascii="Arial Narrow" w:hAnsi="Arial Narrow"/>
          <w:sz w:val="22"/>
          <w:szCs w:val="22"/>
        </w:rPr>
      </w:pPr>
      <w:r>
        <w:rPr>
          <w:rFonts w:ascii="Arial Narrow" w:hAnsi="Arial Narrow"/>
          <w:sz w:val="22"/>
          <w:szCs w:val="22"/>
        </w:rPr>
        <w:t>Con base en lo expuesto, en el Paquete Económico presentado por el Ejecutivo Federal se destacó que las finanzas públicas para el ejercicio fiscal 2015 estarían ancladas a un manejo responsable y coherente con la estabilidad macroeconómica y continuarían beneficiándose del fortalecimiento de los ingresos asociados a la Reforma Hacendaria, subrayándose que el año en mención sería fundamental para nuestro país, en virtud de la entrada en vigor de diversas disposiciones en materia hacendaria.</w:t>
      </w:r>
    </w:p>
    <w:p w:rsidR="00B83815" w:rsidRDefault="00B83815" w:rsidP="00B83815">
      <w:pPr>
        <w:pStyle w:val="Sangradetextonormal"/>
        <w:ind w:firstLine="876"/>
        <w:rPr>
          <w:rFonts w:ascii="Arial Narrow" w:hAnsi="Arial Narrow"/>
          <w:sz w:val="22"/>
          <w:szCs w:val="22"/>
        </w:rPr>
      </w:pPr>
    </w:p>
    <w:p w:rsidR="00B83815" w:rsidRDefault="00B83815" w:rsidP="00B83815">
      <w:pPr>
        <w:pStyle w:val="Sangradetextonormal"/>
        <w:rPr>
          <w:rFonts w:ascii="Arial Narrow" w:hAnsi="Arial Narrow"/>
          <w:sz w:val="22"/>
          <w:szCs w:val="22"/>
        </w:rPr>
      </w:pPr>
      <w:r>
        <w:rPr>
          <w:rFonts w:ascii="Arial Narrow" w:hAnsi="Arial Narrow"/>
          <w:sz w:val="22"/>
          <w:szCs w:val="22"/>
        </w:rPr>
        <w:t>En torno a ello, se mencionó e</w:t>
      </w:r>
      <w:r w:rsidRPr="001B0D69">
        <w:rPr>
          <w:rFonts w:ascii="Arial Narrow" w:hAnsi="Arial Narrow"/>
          <w:sz w:val="22"/>
          <w:szCs w:val="22"/>
        </w:rPr>
        <w:t>l</w:t>
      </w:r>
      <w:r>
        <w:rPr>
          <w:rFonts w:ascii="Arial Narrow" w:hAnsi="Arial Narrow"/>
          <w:sz w:val="22"/>
          <w:szCs w:val="22"/>
        </w:rPr>
        <w:t xml:space="preserve"> </w:t>
      </w:r>
      <w:r w:rsidRPr="001B0D69">
        <w:rPr>
          <w:rFonts w:ascii="Arial Narrow" w:hAnsi="Arial Narrow"/>
          <w:sz w:val="22"/>
          <w:szCs w:val="22"/>
        </w:rPr>
        <w:t>establecimiento de nuevas medidas de responsabilidad hacendaria que refrendan el</w:t>
      </w:r>
      <w:r>
        <w:rPr>
          <w:rFonts w:ascii="Arial Narrow" w:hAnsi="Arial Narrow"/>
          <w:sz w:val="22"/>
          <w:szCs w:val="22"/>
        </w:rPr>
        <w:t xml:space="preserve"> </w:t>
      </w:r>
      <w:r w:rsidRPr="001B0D69">
        <w:rPr>
          <w:rFonts w:ascii="Arial Narrow" w:hAnsi="Arial Narrow"/>
          <w:sz w:val="22"/>
          <w:szCs w:val="22"/>
        </w:rPr>
        <w:t xml:space="preserve">compromiso con la estabilidad macroeconómica </w:t>
      </w:r>
      <w:r>
        <w:rPr>
          <w:rFonts w:ascii="Arial Narrow" w:hAnsi="Arial Narrow"/>
          <w:sz w:val="22"/>
          <w:szCs w:val="22"/>
        </w:rPr>
        <w:t>de la actual Administración Federal.</w:t>
      </w:r>
    </w:p>
    <w:p w:rsidR="00B83815" w:rsidRDefault="00B83815" w:rsidP="00B83815">
      <w:pPr>
        <w:pStyle w:val="Sangradetextonormal"/>
        <w:rPr>
          <w:rFonts w:ascii="Arial Narrow" w:hAnsi="Arial Narrow"/>
          <w:sz w:val="22"/>
          <w:szCs w:val="22"/>
        </w:rPr>
      </w:pPr>
    </w:p>
    <w:p w:rsidR="00B83815" w:rsidRDefault="00B83815" w:rsidP="00B83815">
      <w:pPr>
        <w:pStyle w:val="Sangradetextonormal"/>
        <w:rPr>
          <w:rFonts w:ascii="Arial Narrow" w:hAnsi="Arial Narrow"/>
          <w:sz w:val="22"/>
          <w:szCs w:val="22"/>
        </w:rPr>
      </w:pPr>
      <w:r>
        <w:rPr>
          <w:rFonts w:ascii="Arial Narrow" w:hAnsi="Arial Narrow"/>
          <w:sz w:val="22"/>
          <w:szCs w:val="22"/>
        </w:rPr>
        <w:t>También, se citó l</w:t>
      </w:r>
      <w:r w:rsidRPr="001B0D69">
        <w:rPr>
          <w:rFonts w:ascii="Arial Narrow" w:hAnsi="Arial Narrow"/>
          <w:sz w:val="22"/>
          <w:szCs w:val="22"/>
        </w:rPr>
        <w:t>a creación</w:t>
      </w:r>
      <w:r>
        <w:rPr>
          <w:rFonts w:ascii="Arial Narrow" w:hAnsi="Arial Narrow"/>
          <w:sz w:val="22"/>
          <w:szCs w:val="22"/>
        </w:rPr>
        <w:t xml:space="preserve"> </w:t>
      </w:r>
      <w:r w:rsidRPr="001B0D69">
        <w:rPr>
          <w:rFonts w:ascii="Arial Narrow" w:hAnsi="Arial Narrow"/>
          <w:sz w:val="22"/>
          <w:szCs w:val="22"/>
        </w:rPr>
        <w:t>de nuevos fondos y reglas para el manejo de ingresos excedentes que transparentarán el uso</w:t>
      </w:r>
      <w:r>
        <w:rPr>
          <w:rFonts w:ascii="Arial Narrow" w:hAnsi="Arial Narrow"/>
          <w:sz w:val="22"/>
          <w:szCs w:val="22"/>
        </w:rPr>
        <w:t xml:space="preserve"> </w:t>
      </w:r>
      <w:r w:rsidRPr="001B0D69">
        <w:rPr>
          <w:rFonts w:ascii="Arial Narrow" w:hAnsi="Arial Narrow"/>
          <w:sz w:val="22"/>
          <w:szCs w:val="22"/>
        </w:rPr>
        <w:t>de los ingresos petroleros y permitirán generar ahorro para enfrentar choques adversos a las</w:t>
      </w:r>
      <w:r>
        <w:rPr>
          <w:rFonts w:ascii="Arial Narrow" w:hAnsi="Arial Narrow"/>
          <w:sz w:val="22"/>
          <w:szCs w:val="22"/>
        </w:rPr>
        <w:t xml:space="preserve"> finanzas públicas.</w:t>
      </w:r>
    </w:p>
    <w:p w:rsidR="00B83815" w:rsidRDefault="00B83815" w:rsidP="00B83815">
      <w:pPr>
        <w:pStyle w:val="Sangradetextonormal"/>
        <w:rPr>
          <w:rFonts w:ascii="Arial Narrow" w:hAnsi="Arial Narrow"/>
          <w:sz w:val="22"/>
          <w:szCs w:val="22"/>
        </w:rPr>
      </w:pPr>
    </w:p>
    <w:p w:rsidR="00B83815" w:rsidRDefault="00B83815" w:rsidP="00B83815">
      <w:pPr>
        <w:pStyle w:val="Sangradetextonormal"/>
        <w:rPr>
          <w:rFonts w:ascii="Arial Narrow" w:hAnsi="Arial Narrow"/>
          <w:sz w:val="22"/>
          <w:szCs w:val="22"/>
        </w:rPr>
      </w:pPr>
      <w:r>
        <w:rPr>
          <w:rFonts w:ascii="Arial Narrow" w:hAnsi="Arial Narrow"/>
          <w:sz w:val="22"/>
          <w:szCs w:val="22"/>
        </w:rPr>
        <w:t>Ahora bien, e</w:t>
      </w:r>
      <w:r w:rsidRPr="001B0D69">
        <w:rPr>
          <w:rFonts w:ascii="Arial Narrow" w:hAnsi="Arial Narrow"/>
          <w:sz w:val="22"/>
          <w:szCs w:val="22"/>
        </w:rPr>
        <w:t>n m</w:t>
      </w:r>
      <w:r>
        <w:rPr>
          <w:rFonts w:ascii="Arial Narrow" w:hAnsi="Arial Narrow"/>
          <w:sz w:val="22"/>
          <w:szCs w:val="22"/>
        </w:rPr>
        <w:t>ateria de ingresos, se recalcó el establecimiento de</w:t>
      </w:r>
      <w:r w:rsidRPr="001B0D69">
        <w:rPr>
          <w:rFonts w:ascii="Arial Narrow" w:hAnsi="Arial Narrow"/>
          <w:sz w:val="22"/>
          <w:szCs w:val="22"/>
        </w:rPr>
        <w:t xml:space="preserve"> un nuevo régimen fiscal para</w:t>
      </w:r>
      <w:r>
        <w:rPr>
          <w:rFonts w:ascii="Arial Narrow" w:hAnsi="Arial Narrow"/>
          <w:sz w:val="22"/>
          <w:szCs w:val="22"/>
        </w:rPr>
        <w:t xml:space="preserve"> Pemex, así como la generación de</w:t>
      </w:r>
      <w:r w:rsidRPr="001B0D69">
        <w:rPr>
          <w:rFonts w:ascii="Arial Narrow" w:hAnsi="Arial Narrow"/>
          <w:sz w:val="22"/>
          <w:szCs w:val="22"/>
        </w:rPr>
        <w:t xml:space="preserve"> nuevos ingresos asociados a la apertura </w:t>
      </w:r>
      <w:r>
        <w:rPr>
          <w:rFonts w:ascii="Arial Narrow" w:hAnsi="Arial Narrow"/>
          <w:sz w:val="22"/>
          <w:szCs w:val="22"/>
        </w:rPr>
        <w:t xml:space="preserve">del sector energético y la entrada </w:t>
      </w:r>
      <w:r w:rsidRPr="001B0D69">
        <w:rPr>
          <w:rFonts w:ascii="Arial Narrow" w:hAnsi="Arial Narrow"/>
          <w:sz w:val="22"/>
          <w:szCs w:val="22"/>
        </w:rPr>
        <w:t xml:space="preserve">en vigor </w:t>
      </w:r>
      <w:r>
        <w:rPr>
          <w:rFonts w:ascii="Arial Narrow" w:hAnsi="Arial Narrow"/>
          <w:sz w:val="22"/>
          <w:szCs w:val="22"/>
        </w:rPr>
        <w:t xml:space="preserve">de </w:t>
      </w:r>
      <w:r w:rsidRPr="001B0D69">
        <w:rPr>
          <w:rFonts w:ascii="Arial Narrow" w:hAnsi="Arial Narrow"/>
          <w:sz w:val="22"/>
          <w:szCs w:val="22"/>
        </w:rPr>
        <w:t>medidas tributarias pendientes emanadas de la Reforma Hacendaria aprobada en</w:t>
      </w:r>
      <w:r>
        <w:rPr>
          <w:rFonts w:ascii="Arial Narrow" w:hAnsi="Arial Narrow"/>
          <w:sz w:val="22"/>
          <w:szCs w:val="22"/>
        </w:rPr>
        <w:t xml:space="preserve"> 2013.</w:t>
      </w:r>
    </w:p>
    <w:p w:rsidR="00B83815" w:rsidRDefault="00B83815" w:rsidP="00B83815">
      <w:pPr>
        <w:pStyle w:val="Sangradetextonormal"/>
        <w:rPr>
          <w:rFonts w:ascii="Arial Narrow" w:hAnsi="Arial Narrow"/>
          <w:sz w:val="22"/>
          <w:szCs w:val="22"/>
        </w:rPr>
      </w:pPr>
    </w:p>
    <w:p w:rsidR="00B83815" w:rsidRPr="00782F06" w:rsidRDefault="00B83815" w:rsidP="00B83815">
      <w:pPr>
        <w:pStyle w:val="Sangradetextonormal"/>
        <w:rPr>
          <w:rFonts w:ascii="Arial Narrow" w:hAnsi="Arial Narrow"/>
          <w:sz w:val="22"/>
          <w:szCs w:val="22"/>
        </w:rPr>
      </w:pPr>
      <w:r>
        <w:rPr>
          <w:rFonts w:ascii="Arial Narrow" w:hAnsi="Arial Narrow"/>
          <w:sz w:val="22"/>
          <w:szCs w:val="22"/>
        </w:rPr>
        <w:t>En cuanto al</w:t>
      </w:r>
      <w:r w:rsidRPr="001B0D69">
        <w:rPr>
          <w:rFonts w:ascii="Arial Narrow" w:hAnsi="Arial Narrow"/>
          <w:sz w:val="22"/>
          <w:szCs w:val="22"/>
        </w:rPr>
        <w:t xml:space="preserve"> gasto, se </w:t>
      </w:r>
      <w:r>
        <w:rPr>
          <w:rFonts w:ascii="Arial Narrow" w:hAnsi="Arial Narrow"/>
          <w:sz w:val="22"/>
          <w:szCs w:val="22"/>
        </w:rPr>
        <w:t>pretende fortalecer</w:t>
      </w:r>
      <w:r w:rsidRPr="001B0D69">
        <w:rPr>
          <w:rFonts w:ascii="Arial Narrow" w:hAnsi="Arial Narrow"/>
          <w:sz w:val="22"/>
          <w:szCs w:val="22"/>
        </w:rPr>
        <w:t xml:space="preserve"> los mecanismos para elevar la calidad del</w:t>
      </w:r>
      <w:r>
        <w:rPr>
          <w:rFonts w:ascii="Arial Narrow" w:hAnsi="Arial Narrow"/>
          <w:sz w:val="22"/>
          <w:szCs w:val="22"/>
        </w:rPr>
        <w:t xml:space="preserve"> </w:t>
      </w:r>
      <w:r w:rsidRPr="00782F06">
        <w:rPr>
          <w:rFonts w:ascii="Arial Narrow" w:hAnsi="Arial Narrow"/>
          <w:sz w:val="22"/>
          <w:szCs w:val="22"/>
        </w:rPr>
        <w:t>gasto público, para promover una mayor transparencia y rendición de cuentas, así como para</w:t>
      </w:r>
      <w:r>
        <w:rPr>
          <w:rFonts w:ascii="Arial Narrow" w:hAnsi="Arial Narrow"/>
          <w:sz w:val="22"/>
          <w:szCs w:val="22"/>
        </w:rPr>
        <w:t xml:space="preserve"> </w:t>
      </w:r>
      <w:r w:rsidRPr="00782F06">
        <w:rPr>
          <w:rFonts w:ascii="Arial Narrow" w:hAnsi="Arial Narrow"/>
          <w:sz w:val="22"/>
          <w:szCs w:val="22"/>
        </w:rPr>
        <w:t>mejorar el control presupuestario.</w:t>
      </w:r>
    </w:p>
    <w:p w:rsidR="00B83815" w:rsidRPr="003C2415" w:rsidRDefault="00B83815" w:rsidP="00B83815">
      <w:pPr>
        <w:pStyle w:val="Sangradetextonormal"/>
        <w:ind w:firstLine="708"/>
        <w:rPr>
          <w:rFonts w:ascii="Arial Narrow" w:hAnsi="Arial Narrow"/>
          <w:sz w:val="22"/>
          <w:szCs w:val="22"/>
        </w:rPr>
      </w:pPr>
      <w:r w:rsidRPr="003C2415">
        <w:rPr>
          <w:rFonts w:ascii="Arial Narrow" w:hAnsi="Arial Narrow"/>
          <w:sz w:val="22"/>
          <w:szCs w:val="22"/>
        </w:rPr>
        <w:lastRenderedPageBreak/>
        <w:t>En las metas previstas para el ejercicio que se reporta se estableció un déficit en el balance fi</w:t>
      </w:r>
      <w:r>
        <w:rPr>
          <w:rFonts w:ascii="Arial Narrow" w:hAnsi="Arial Narrow"/>
          <w:sz w:val="22"/>
          <w:szCs w:val="22"/>
        </w:rPr>
        <w:t>scal con inversión de las Empresas Productivas del Estado</w:t>
      </w:r>
      <w:r w:rsidRPr="003C2415">
        <w:rPr>
          <w:rFonts w:ascii="Arial Narrow" w:hAnsi="Arial Narrow"/>
          <w:sz w:val="22"/>
          <w:szCs w:val="22"/>
        </w:rPr>
        <w:t xml:space="preserve"> de 3.5% del PI</w:t>
      </w:r>
      <w:r>
        <w:rPr>
          <w:rFonts w:ascii="Arial Narrow" w:hAnsi="Arial Narrow"/>
          <w:sz w:val="22"/>
          <w:szCs w:val="22"/>
        </w:rPr>
        <w:t>B, con un incremento real de 1.0</w:t>
      </w:r>
      <w:r w:rsidRPr="003C2415">
        <w:rPr>
          <w:rFonts w:ascii="Arial Narrow" w:hAnsi="Arial Narrow"/>
          <w:sz w:val="22"/>
          <w:szCs w:val="22"/>
        </w:rPr>
        <w:t>% en los ingresos presupuesta</w:t>
      </w:r>
      <w:r>
        <w:rPr>
          <w:rFonts w:ascii="Arial Narrow" w:hAnsi="Arial Narrow"/>
          <w:sz w:val="22"/>
          <w:szCs w:val="22"/>
        </w:rPr>
        <w:t>rios que incluyen a dichas empresas</w:t>
      </w:r>
      <w:r w:rsidRPr="003C2415">
        <w:rPr>
          <w:rFonts w:ascii="Arial Narrow" w:hAnsi="Arial Narrow"/>
          <w:sz w:val="22"/>
          <w:szCs w:val="22"/>
        </w:rPr>
        <w:t xml:space="preserve"> y un c</w:t>
      </w:r>
      <w:r>
        <w:rPr>
          <w:rFonts w:ascii="Arial Narrow" w:hAnsi="Arial Narrow"/>
          <w:sz w:val="22"/>
          <w:szCs w:val="22"/>
        </w:rPr>
        <w:t>recimiento real de 0.9</w:t>
      </w:r>
      <w:r w:rsidRPr="003C2415">
        <w:rPr>
          <w:rFonts w:ascii="Arial Narrow" w:hAnsi="Arial Narrow"/>
          <w:sz w:val="22"/>
          <w:szCs w:val="22"/>
        </w:rPr>
        <w:t>% en el gasto neto.</w:t>
      </w:r>
    </w:p>
    <w:p w:rsidR="00B83815" w:rsidRPr="003C2415" w:rsidRDefault="00B83815" w:rsidP="00B83815">
      <w:pPr>
        <w:pStyle w:val="Sangradetextonormal"/>
        <w:spacing w:line="240" w:lineRule="exact"/>
        <w:ind w:firstLine="873"/>
        <w:rPr>
          <w:rFonts w:ascii="Arial Narrow" w:hAnsi="Arial Narrow"/>
          <w:sz w:val="22"/>
          <w:szCs w:val="22"/>
        </w:rPr>
      </w:pPr>
    </w:p>
    <w:p w:rsidR="00B83815" w:rsidRPr="003C2415" w:rsidRDefault="00B83815" w:rsidP="00B83815">
      <w:pPr>
        <w:pStyle w:val="Sangradetextonormal"/>
        <w:ind w:firstLine="708"/>
        <w:rPr>
          <w:rFonts w:ascii="Arial Narrow" w:hAnsi="Arial Narrow"/>
          <w:sz w:val="22"/>
          <w:szCs w:val="22"/>
        </w:rPr>
      </w:pPr>
      <w:r w:rsidRPr="003C2415">
        <w:rPr>
          <w:rFonts w:ascii="Arial Narrow" w:hAnsi="Arial Narrow"/>
          <w:sz w:val="22"/>
          <w:szCs w:val="22"/>
        </w:rPr>
        <w:t>Cabe señalar que</w:t>
      </w:r>
      <w:r>
        <w:rPr>
          <w:rFonts w:ascii="Arial Narrow" w:hAnsi="Arial Narrow"/>
          <w:sz w:val="22"/>
          <w:szCs w:val="22"/>
        </w:rPr>
        <w:t>, en línea con la estrategia de déficit decreciente</w:t>
      </w:r>
      <w:r w:rsidRPr="003C2415">
        <w:rPr>
          <w:rFonts w:ascii="Arial Narrow" w:hAnsi="Arial Narrow"/>
          <w:sz w:val="22"/>
          <w:szCs w:val="22"/>
        </w:rPr>
        <w:t>, el Gobierno Federal</w:t>
      </w:r>
      <w:r>
        <w:rPr>
          <w:rFonts w:ascii="Arial Narrow" w:hAnsi="Arial Narrow"/>
          <w:sz w:val="22"/>
          <w:szCs w:val="22"/>
        </w:rPr>
        <w:t xml:space="preserve"> estimó para 2015 un déficit fiscal de 1.0</w:t>
      </w:r>
      <w:r w:rsidRPr="003C2415">
        <w:rPr>
          <w:rFonts w:ascii="Arial Narrow" w:hAnsi="Arial Narrow"/>
          <w:sz w:val="22"/>
          <w:szCs w:val="22"/>
        </w:rPr>
        <w:t xml:space="preserve"> % del PIB si s</w:t>
      </w:r>
      <w:r>
        <w:rPr>
          <w:rFonts w:ascii="Arial Narrow" w:hAnsi="Arial Narrow"/>
          <w:sz w:val="22"/>
          <w:szCs w:val="22"/>
        </w:rPr>
        <w:t>e excluye la inversión en Empresas Productivas del Estado.</w:t>
      </w:r>
    </w:p>
    <w:p w:rsidR="00B83815" w:rsidRDefault="00B83815" w:rsidP="00B83815">
      <w:pPr>
        <w:pStyle w:val="Sangradetextonormal"/>
        <w:ind w:firstLine="708"/>
        <w:rPr>
          <w:rFonts w:ascii="Arial Narrow" w:hAnsi="Arial Narrow"/>
          <w:sz w:val="25"/>
        </w:rPr>
      </w:pP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t>Líneas de Acción</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3C2415" w:rsidRDefault="00B83815" w:rsidP="00B83815">
      <w:pPr>
        <w:pStyle w:val="Sangradetextonormal"/>
        <w:ind w:firstLine="876"/>
        <w:rPr>
          <w:rFonts w:ascii="Arial Narrow" w:hAnsi="Arial Narrow"/>
          <w:sz w:val="22"/>
          <w:szCs w:val="22"/>
        </w:rPr>
      </w:pPr>
      <w:r>
        <w:rPr>
          <w:rFonts w:ascii="Arial Narrow" w:hAnsi="Arial Narrow"/>
          <w:sz w:val="22"/>
          <w:szCs w:val="22"/>
        </w:rPr>
        <w:t>En el paquete económico para 2015 se consideró</w:t>
      </w:r>
      <w:r w:rsidRPr="003C2415">
        <w:rPr>
          <w:rFonts w:ascii="Arial Narrow" w:hAnsi="Arial Narrow"/>
          <w:sz w:val="22"/>
          <w:szCs w:val="22"/>
        </w:rPr>
        <w:t xml:space="preserve"> </w:t>
      </w:r>
      <w:r>
        <w:rPr>
          <w:rFonts w:ascii="Arial Narrow" w:hAnsi="Arial Narrow"/>
          <w:sz w:val="22"/>
          <w:szCs w:val="22"/>
        </w:rPr>
        <w:t>que la Reforma Hacendaria implicó cambios profundos en todos los aspectos del sistema tributario, señalando que el Gobierno de la República ha utilizado las herramientas a su alcance para fomentar un ambiente de certidumbre en la materia y se ratifica el compromiso asumido de mejorar la eficiencia, oportunidad y transparencia en el uso de los recursos públicos.</w:t>
      </w:r>
    </w:p>
    <w:p w:rsidR="00B83815" w:rsidRPr="003C2415" w:rsidRDefault="00B83815" w:rsidP="00B83815">
      <w:pPr>
        <w:pStyle w:val="Sangradetextonormal"/>
        <w:ind w:firstLine="876"/>
        <w:rPr>
          <w:rFonts w:ascii="Arial Narrow" w:hAnsi="Arial Narrow"/>
          <w:sz w:val="22"/>
          <w:szCs w:val="22"/>
        </w:rPr>
      </w:pPr>
    </w:p>
    <w:p w:rsidR="00B83815" w:rsidRDefault="00B83815" w:rsidP="00B83815">
      <w:pPr>
        <w:pStyle w:val="Sangradetextonormal"/>
        <w:ind w:firstLine="876"/>
        <w:rPr>
          <w:rFonts w:ascii="Arial Narrow" w:hAnsi="Arial Narrow"/>
          <w:sz w:val="22"/>
          <w:szCs w:val="22"/>
        </w:rPr>
      </w:pPr>
      <w:r w:rsidRPr="003C2415">
        <w:rPr>
          <w:rFonts w:ascii="Arial Narrow" w:hAnsi="Arial Narrow"/>
          <w:sz w:val="22"/>
          <w:szCs w:val="22"/>
        </w:rPr>
        <w:t xml:space="preserve"> </w:t>
      </w:r>
      <w:r>
        <w:rPr>
          <w:rFonts w:ascii="Arial Narrow" w:hAnsi="Arial Narrow"/>
          <w:sz w:val="22"/>
          <w:szCs w:val="22"/>
        </w:rPr>
        <w:t xml:space="preserve">Por el lado de los ingresos públicos, </w:t>
      </w:r>
      <w:r w:rsidRPr="003C2415">
        <w:rPr>
          <w:rFonts w:ascii="Arial Narrow" w:hAnsi="Arial Narrow"/>
          <w:sz w:val="22"/>
          <w:szCs w:val="22"/>
        </w:rPr>
        <w:t xml:space="preserve">se enfatizó que para el año que se reporta </w:t>
      </w:r>
      <w:r>
        <w:rPr>
          <w:rFonts w:ascii="Arial Narrow" w:hAnsi="Arial Narrow"/>
          <w:sz w:val="22"/>
          <w:szCs w:val="22"/>
        </w:rPr>
        <w:t xml:space="preserve">no se propondrán nuevos impuestos, ni se incrementarán los ya existentes y tampoco se eliminan los beneficios fiscales para ningún contribuyente, por lo que no se plantearán modificaciones sustantivas a la legislación, normatividad y procedimientos que rigen el actual marco fiscal y en cuanto a la política de precios y tarifas de los bienes y servicios que ofrecen los organismos y empresas del sector público federal, se continuará definiendo a través de criterios como la relación precio – costo, los precios de referencia nacional e internacional y la tasa de inflación.  </w:t>
      </w:r>
    </w:p>
    <w:p w:rsidR="00B83815" w:rsidRPr="003C2415" w:rsidRDefault="00B83815" w:rsidP="00B83815">
      <w:pPr>
        <w:pStyle w:val="Sangradetextonormal"/>
        <w:ind w:firstLine="876"/>
        <w:rPr>
          <w:rFonts w:ascii="Arial Narrow" w:hAnsi="Arial Narrow"/>
          <w:sz w:val="22"/>
          <w:szCs w:val="22"/>
        </w:rPr>
      </w:pPr>
    </w:p>
    <w:p w:rsidR="00B83815" w:rsidRPr="003C2415" w:rsidRDefault="00B83815" w:rsidP="00B83815">
      <w:pPr>
        <w:pStyle w:val="Sangradetextonormal"/>
        <w:ind w:firstLine="993"/>
        <w:rPr>
          <w:rFonts w:ascii="Arial Narrow" w:hAnsi="Arial Narrow"/>
          <w:sz w:val="22"/>
          <w:szCs w:val="22"/>
        </w:rPr>
      </w:pPr>
      <w:r w:rsidRPr="003C2415">
        <w:rPr>
          <w:rFonts w:ascii="Arial Narrow" w:hAnsi="Arial Narrow"/>
          <w:sz w:val="22"/>
          <w:szCs w:val="22"/>
        </w:rPr>
        <w:t xml:space="preserve">Por la parte de los egresos públicos, se </w:t>
      </w:r>
      <w:r>
        <w:rPr>
          <w:rFonts w:ascii="Arial Narrow" w:hAnsi="Arial Narrow"/>
          <w:sz w:val="22"/>
          <w:szCs w:val="22"/>
        </w:rPr>
        <w:t>tiene como prioridad orientar las políticas, programas y acciones a la consecución de resultados, en un marco de eficiencia, eficacia, transparencia y rendición de cuentas, en congruencia con las reformas estructurales aprobadas, mediante la instrumentación de estrategias de optimización de los gastos de operación y racionalización de los recursos destinados al gasto corriente, para hacer factible mayores erogaciones en proyectos y programas de inversión de alto impacto, que se traduzca en beneficios palpables para todos los mexicanos.</w:t>
      </w:r>
    </w:p>
    <w:p w:rsidR="00B83815" w:rsidRPr="003C2415" w:rsidRDefault="00B83815" w:rsidP="00B83815">
      <w:pPr>
        <w:pStyle w:val="Sangradetextonormal"/>
        <w:ind w:firstLine="993"/>
        <w:rPr>
          <w:rFonts w:ascii="Arial Narrow" w:hAnsi="Arial Narrow"/>
          <w:sz w:val="22"/>
          <w:szCs w:val="22"/>
        </w:rPr>
      </w:pPr>
      <w:r w:rsidRPr="003C2415">
        <w:rPr>
          <w:rFonts w:ascii="Arial Narrow" w:hAnsi="Arial Narrow"/>
          <w:sz w:val="22"/>
          <w:szCs w:val="22"/>
        </w:rPr>
        <w:lastRenderedPageBreak/>
        <w:t>En materia de e</w:t>
      </w:r>
      <w:r>
        <w:rPr>
          <w:rFonts w:ascii="Arial Narrow" w:hAnsi="Arial Narrow"/>
          <w:sz w:val="22"/>
          <w:szCs w:val="22"/>
        </w:rPr>
        <w:t>ndeudamiento, se establece que la política de deuda pública tiene como principal objetivo cubrir las necesidades de financiamiento del Gobierno Federal con bajos costos en un horizonte de largo plazo, bajo nivel de riesgo y considerando posibles escenarios extremos, recalcando que su manejo prudente y responsable seguirá contribuyendo al crecimiento económico, al seguir dotando de mayor fortaleza a las finanzas públicas y coadyuvar en el desarrollo de los mercados financieros.</w:t>
      </w:r>
    </w:p>
    <w:p w:rsidR="00B83815" w:rsidRDefault="00B83815" w:rsidP="00B83815">
      <w:pPr>
        <w:pStyle w:val="Sangradetextonormal"/>
        <w:ind w:firstLine="993"/>
        <w:rPr>
          <w:rFonts w:ascii="Arial Narrow" w:hAnsi="Arial Narrow"/>
          <w:sz w:val="25"/>
        </w:rPr>
      </w:pPr>
    </w:p>
    <w:p w:rsidR="00B83815" w:rsidRPr="00605C58" w:rsidRDefault="00B83815" w:rsidP="00B83815">
      <w:pPr>
        <w:pStyle w:val="Sangradetextonormal"/>
        <w:ind w:firstLine="0"/>
        <w:jc w:val="left"/>
        <w:rPr>
          <w:rFonts w:ascii="Arial Narrow" w:hAnsi="Arial Narrow"/>
          <w:b/>
          <w:bCs/>
          <w:szCs w:val="28"/>
        </w:rPr>
      </w:pPr>
      <w:r w:rsidRPr="00605C58">
        <w:rPr>
          <w:rFonts w:ascii="Arial Narrow" w:hAnsi="Arial Narrow"/>
          <w:b/>
          <w:bCs/>
          <w:szCs w:val="28"/>
        </w:rPr>
        <w:t>2.1.1.4.- Resultados obtenidos</w:t>
      </w:r>
    </w:p>
    <w:p w:rsidR="00B83815" w:rsidRDefault="00B83815" w:rsidP="00B83815">
      <w:pPr>
        <w:pStyle w:val="Sangradetextonormal"/>
        <w:spacing w:line="240" w:lineRule="auto"/>
        <w:ind w:firstLine="0"/>
        <w:jc w:val="left"/>
        <w:rPr>
          <w:rFonts w:ascii="Arial Narrow" w:hAnsi="Arial Narrow"/>
          <w:szCs w:val="28"/>
        </w:rPr>
      </w:pPr>
    </w:p>
    <w:p w:rsidR="00B83815" w:rsidRPr="00605C58" w:rsidRDefault="00B83815" w:rsidP="00B83815">
      <w:pPr>
        <w:pStyle w:val="Sangradetextonormal"/>
        <w:numPr>
          <w:ilvl w:val="0"/>
          <w:numId w:val="11"/>
        </w:numPr>
        <w:jc w:val="left"/>
        <w:rPr>
          <w:rFonts w:ascii="Arial Narrow" w:hAnsi="Arial Narrow"/>
          <w:b/>
          <w:bCs/>
          <w:szCs w:val="28"/>
        </w:rPr>
      </w:pPr>
      <w:r w:rsidRPr="00605C58">
        <w:rPr>
          <w:rFonts w:ascii="Arial Narrow" w:hAnsi="Arial Narrow"/>
          <w:b/>
          <w:bCs/>
          <w:szCs w:val="28"/>
        </w:rPr>
        <w:t>Balance del Sector Público Presupuestario</w:t>
      </w:r>
    </w:p>
    <w:p w:rsidR="00B83815" w:rsidRPr="00992D26" w:rsidRDefault="00B83815" w:rsidP="00B83815">
      <w:pPr>
        <w:pStyle w:val="Sangradetextonormal"/>
        <w:ind w:firstLine="876"/>
        <w:rPr>
          <w:rFonts w:ascii="Arial Narrow" w:hAnsi="Arial Narrow"/>
          <w:sz w:val="25"/>
        </w:rPr>
      </w:pP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Como se comentó anteri</w:t>
      </w:r>
      <w:r>
        <w:rPr>
          <w:rFonts w:ascii="Arial Narrow" w:hAnsi="Arial Narrow"/>
          <w:sz w:val="22"/>
          <w:szCs w:val="22"/>
        </w:rPr>
        <w:t>ormente, durante 2015</w:t>
      </w:r>
      <w:r w:rsidRPr="00605C58">
        <w:rPr>
          <w:rFonts w:ascii="Arial Narrow" w:hAnsi="Arial Narrow"/>
          <w:sz w:val="22"/>
          <w:szCs w:val="22"/>
        </w:rPr>
        <w:t xml:space="preserve"> el sector público presupuestario presentó un défi</w:t>
      </w:r>
      <w:r>
        <w:rPr>
          <w:rFonts w:ascii="Arial Narrow" w:hAnsi="Arial Narrow"/>
          <w:sz w:val="22"/>
          <w:szCs w:val="22"/>
        </w:rPr>
        <w:t>cit por 637 mil 627</w:t>
      </w:r>
      <w:r w:rsidRPr="00605C58">
        <w:rPr>
          <w:rFonts w:ascii="Arial Narrow" w:hAnsi="Arial Narrow"/>
          <w:sz w:val="22"/>
          <w:szCs w:val="22"/>
        </w:rPr>
        <w:t xml:space="preserve"> millones de pesos</w:t>
      </w:r>
      <w:r>
        <w:rPr>
          <w:rFonts w:ascii="Arial Narrow" w:hAnsi="Arial Narrow"/>
          <w:sz w:val="22"/>
          <w:szCs w:val="22"/>
        </w:rPr>
        <w:t>, mismo que fue</w:t>
      </w:r>
      <w:r w:rsidRPr="00605C58">
        <w:rPr>
          <w:rFonts w:ascii="Arial Narrow" w:hAnsi="Arial Narrow"/>
          <w:sz w:val="22"/>
          <w:szCs w:val="22"/>
        </w:rPr>
        <w:t xml:space="preserve"> </w:t>
      </w:r>
      <w:r>
        <w:rPr>
          <w:rFonts w:ascii="Arial Narrow" w:hAnsi="Arial Narrow"/>
          <w:sz w:val="22"/>
          <w:szCs w:val="22"/>
        </w:rPr>
        <w:t>menor en 3</w:t>
      </w:r>
      <w:r w:rsidRPr="00605C58">
        <w:rPr>
          <w:rFonts w:ascii="Arial Narrow" w:hAnsi="Arial Narrow"/>
          <w:sz w:val="22"/>
          <w:szCs w:val="22"/>
        </w:rPr>
        <w:t xml:space="preserve"> mil </w:t>
      </w:r>
      <w:r>
        <w:rPr>
          <w:rFonts w:ascii="Arial Narrow" w:hAnsi="Arial Narrow"/>
          <w:sz w:val="22"/>
          <w:szCs w:val="22"/>
        </w:rPr>
        <w:t>883</w:t>
      </w:r>
      <w:r w:rsidRPr="00605C58">
        <w:rPr>
          <w:rFonts w:ascii="Arial Narrow" w:hAnsi="Arial Narrow"/>
          <w:sz w:val="22"/>
          <w:szCs w:val="22"/>
        </w:rPr>
        <w:t xml:space="preserve"> millones de pesos al previsto originalmente para el año. </w:t>
      </w:r>
      <w:r>
        <w:rPr>
          <w:rFonts w:ascii="Arial Narrow" w:hAnsi="Arial Narrow"/>
          <w:sz w:val="22"/>
          <w:szCs w:val="22"/>
        </w:rPr>
        <w:t>Al excluir la inversión productiva</w:t>
      </w:r>
      <w:r w:rsidRPr="00605C58">
        <w:rPr>
          <w:rFonts w:ascii="Arial Narrow" w:hAnsi="Arial Narrow"/>
          <w:sz w:val="22"/>
          <w:szCs w:val="22"/>
        </w:rPr>
        <w:t xml:space="preserve"> </w:t>
      </w:r>
      <w:r>
        <w:rPr>
          <w:rFonts w:ascii="Arial Narrow" w:hAnsi="Arial Narrow"/>
          <w:sz w:val="22"/>
          <w:szCs w:val="22"/>
        </w:rPr>
        <w:t>resulta un déficit por 184 mil 326</w:t>
      </w:r>
      <w:r w:rsidRPr="00605C58">
        <w:rPr>
          <w:rFonts w:ascii="Arial Narrow" w:hAnsi="Arial Narrow"/>
          <w:sz w:val="22"/>
          <w:szCs w:val="22"/>
        </w:rPr>
        <w:t xml:space="preserve"> millones de p</w:t>
      </w:r>
      <w:r>
        <w:rPr>
          <w:rFonts w:ascii="Arial Narrow" w:hAnsi="Arial Narrow"/>
          <w:sz w:val="22"/>
          <w:szCs w:val="22"/>
        </w:rPr>
        <w:t>esos que es ligeramente superior en 756 millones de pesos, respecto del programado.</w:t>
      </w:r>
    </w:p>
    <w:p w:rsidR="00B83815" w:rsidRPr="00605C58" w:rsidRDefault="00B83815" w:rsidP="00B83815">
      <w:pPr>
        <w:pStyle w:val="Sangradetextonormal"/>
        <w:spacing w:line="240" w:lineRule="auto"/>
        <w:ind w:firstLine="0"/>
        <w:jc w:val="left"/>
        <w:rPr>
          <w:rFonts w:ascii="Arial Narrow" w:hAnsi="Arial Narrow"/>
          <w:sz w:val="22"/>
          <w:szCs w:val="22"/>
        </w:rPr>
      </w:pP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Con base en cifras preliminares reportadas por la Secretaría de Hacienda y Crédito Público correspondie</w:t>
      </w:r>
      <w:r>
        <w:rPr>
          <w:rFonts w:ascii="Arial Narrow" w:hAnsi="Arial Narrow"/>
          <w:sz w:val="22"/>
          <w:szCs w:val="22"/>
        </w:rPr>
        <w:t>ntes al cuarto trimestre de 2015</w:t>
      </w:r>
      <w:r w:rsidRPr="00605C58">
        <w:rPr>
          <w:rFonts w:ascii="Arial Narrow" w:hAnsi="Arial Narrow"/>
          <w:sz w:val="22"/>
          <w:szCs w:val="22"/>
        </w:rPr>
        <w:t>, el Balance Público presentó el siguiente comportamiento:</w:t>
      </w:r>
    </w:p>
    <w:p w:rsidR="00B83815"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 xml:space="preserve"> </w:t>
      </w:r>
    </w:p>
    <w:p w:rsidR="00B83815" w:rsidRPr="00605C58" w:rsidRDefault="00B83815" w:rsidP="00B83815">
      <w:pPr>
        <w:pStyle w:val="Sangradetextonormal"/>
        <w:ind w:firstLine="876"/>
        <w:rPr>
          <w:rFonts w:ascii="Arial Narrow" w:hAnsi="Arial Narrow"/>
          <w:sz w:val="22"/>
          <w:szCs w:val="22"/>
          <w:u w:val="single"/>
        </w:rPr>
      </w:pPr>
      <w:r w:rsidRPr="00605C58">
        <w:rPr>
          <w:rFonts w:ascii="Arial Narrow" w:hAnsi="Arial Narrow"/>
          <w:sz w:val="22"/>
          <w:szCs w:val="22"/>
          <w:u w:val="single"/>
        </w:rPr>
        <w:t>Balance Público con Inversió</w:t>
      </w:r>
      <w:r>
        <w:rPr>
          <w:rFonts w:ascii="Arial Narrow" w:hAnsi="Arial Narrow"/>
          <w:sz w:val="22"/>
          <w:szCs w:val="22"/>
          <w:u w:val="single"/>
        </w:rPr>
        <w:t>n Productiva</w:t>
      </w:r>
    </w:p>
    <w:p w:rsidR="00B83815" w:rsidRPr="00605C58" w:rsidRDefault="00B83815"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Importe previsto</w:t>
      </w:r>
      <w:r>
        <w:rPr>
          <w:rFonts w:ascii="Arial Narrow" w:hAnsi="Arial Narrow"/>
          <w:sz w:val="22"/>
          <w:szCs w:val="22"/>
        </w:rPr>
        <w:tab/>
      </w:r>
      <w:r>
        <w:rPr>
          <w:rFonts w:ascii="Arial Narrow" w:hAnsi="Arial Narrow"/>
          <w:sz w:val="22"/>
          <w:szCs w:val="22"/>
        </w:rPr>
        <w:tab/>
      </w:r>
      <w:r>
        <w:rPr>
          <w:rFonts w:ascii="Arial Narrow" w:hAnsi="Arial Narrow"/>
          <w:sz w:val="22"/>
          <w:szCs w:val="22"/>
        </w:rPr>
        <w:tab/>
        <w:t>641,510</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Déficit generado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Pr>
          <w:rFonts w:ascii="Arial Narrow" w:hAnsi="Arial Narrow"/>
          <w:sz w:val="22"/>
          <w:szCs w:val="22"/>
          <w:u w:val="single"/>
        </w:rPr>
        <w:t>637,627</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u w:val="double"/>
        </w:rPr>
        <w:t xml:space="preserve">  </w:t>
      </w:r>
      <w:r>
        <w:rPr>
          <w:rFonts w:ascii="Arial Narrow" w:hAnsi="Arial Narrow"/>
          <w:sz w:val="22"/>
          <w:szCs w:val="22"/>
          <w:u w:val="double"/>
        </w:rPr>
        <w:t xml:space="preserve">  3,883</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u w:val="single"/>
        </w:rPr>
      </w:pPr>
    </w:p>
    <w:p w:rsidR="00B83815" w:rsidRPr="00605C58" w:rsidRDefault="00B83815" w:rsidP="00B83815">
      <w:pPr>
        <w:pStyle w:val="Sangradetextonormal"/>
        <w:ind w:firstLine="876"/>
        <w:rPr>
          <w:rFonts w:ascii="Arial Narrow" w:hAnsi="Arial Narrow"/>
          <w:sz w:val="22"/>
          <w:szCs w:val="22"/>
          <w:u w:val="single"/>
        </w:rPr>
      </w:pPr>
      <w:r w:rsidRPr="00605C58">
        <w:rPr>
          <w:rFonts w:ascii="Arial Narrow" w:hAnsi="Arial Narrow"/>
          <w:sz w:val="22"/>
          <w:szCs w:val="22"/>
          <w:u w:val="single"/>
        </w:rPr>
        <w:t>Balance Público sin</w:t>
      </w:r>
      <w:r>
        <w:rPr>
          <w:rFonts w:ascii="Arial Narrow" w:hAnsi="Arial Narrow"/>
          <w:sz w:val="22"/>
          <w:szCs w:val="22"/>
          <w:u w:val="single"/>
        </w:rPr>
        <w:t xml:space="preserve"> Inversión Productiva</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Importe previsto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Pr>
          <w:rFonts w:ascii="Arial Narrow" w:hAnsi="Arial Narrow"/>
          <w:sz w:val="22"/>
          <w:szCs w:val="22"/>
        </w:rPr>
        <w:t>183,570</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Déficit generado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u w:val="single"/>
        </w:rPr>
        <w:t>18</w:t>
      </w:r>
      <w:r>
        <w:rPr>
          <w:rFonts w:ascii="Arial Narrow" w:hAnsi="Arial Narrow"/>
          <w:sz w:val="22"/>
          <w:szCs w:val="22"/>
          <w:u w:val="single"/>
        </w:rPr>
        <w:t>4,326</w:t>
      </w:r>
    </w:p>
    <w:p w:rsidR="00B83815" w:rsidRDefault="00B83815" w:rsidP="00B83815">
      <w:pPr>
        <w:pStyle w:val="Sangradetextonormal"/>
        <w:ind w:firstLine="876"/>
        <w:rPr>
          <w:rFonts w:ascii="Arial Narrow" w:hAnsi="Arial Narrow"/>
          <w:sz w:val="25"/>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u w:val="double"/>
        </w:rPr>
        <w:t xml:space="preserve">  </w:t>
      </w:r>
      <w:r>
        <w:rPr>
          <w:rFonts w:ascii="Arial Narrow" w:hAnsi="Arial Narrow"/>
          <w:sz w:val="22"/>
          <w:szCs w:val="22"/>
          <w:u w:val="double"/>
        </w:rPr>
        <w:t xml:space="preserve">    (756)</w:t>
      </w:r>
      <w:r w:rsidRPr="00992D26">
        <w:rPr>
          <w:rFonts w:ascii="Arial Narrow" w:hAnsi="Arial Narrow"/>
          <w:sz w:val="25"/>
        </w:rPr>
        <w:tab/>
      </w:r>
    </w:p>
    <w:p w:rsidR="00B83815" w:rsidRPr="00992D26" w:rsidRDefault="00B83815" w:rsidP="00B83815">
      <w:pPr>
        <w:pStyle w:val="Sangradetextonormal"/>
        <w:ind w:firstLine="876"/>
        <w:rPr>
          <w:rFonts w:ascii="Arial Narrow" w:hAnsi="Arial Narrow"/>
          <w:sz w:val="25"/>
        </w:rPr>
      </w:pPr>
    </w:p>
    <w:p w:rsidR="00B83815" w:rsidRPr="00B818D5" w:rsidRDefault="00B83815" w:rsidP="00B83815">
      <w:pPr>
        <w:pStyle w:val="Sangradetextonormal"/>
        <w:numPr>
          <w:ilvl w:val="0"/>
          <w:numId w:val="11"/>
        </w:numPr>
        <w:spacing w:line="240" w:lineRule="auto"/>
        <w:jc w:val="left"/>
        <w:rPr>
          <w:rFonts w:ascii="Arial Narrow" w:hAnsi="Arial Narrow"/>
          <w:b/>
          <w:bCs/>
          <w:szCs w:val="28"/>
        </w:rPr>
      </w:pPr>
      <w:r w:rsidRPr="00B818D5">
        <w:rPr>
          <w:rFonts w:ascii="Arial Narrow" w:hAnsi="Arial Narrow"/>
          <w:b/>
          <w:bCs/>
          <w:szCs w:val="28"/>
        </w:rPr>
        <w:lastRenderedPageBreak/>
        <w:t>Balance Primario del Sector Público Presupuestario</w:t>
      </w:r>
    </w:p>
    <w:p w:rsidR="00B83815" w:rsidRDefault="00B83815" w:rsidP="00B83815">
      <w:pPr>
        <w:pStyle w:val="Sangradetextonormal"/>
        <w:ind w:firstLine="876"/>
        <w:rPr>
          <w:rFonts w:ascii="Arial Narrow" w:hAnsi="Arial Narrow"/>
          <w:b/>
          <w:sz w:val="25"/>
        </w:rPr>
      </w:pPr>
    </w:p>
    <w:p w:rsidR="00B83815" w:rsidRPr="00B818D5" w:rsidRDefault="00B83815" w:rsidP="00B83815">
      <w:pPr>
        <w:pStyle w:val="Sangradetextonormal"/>
        <w:ind w:firstLine="876"/>
        <w:rPr>
          <w:rFonts w:ascii="Arial Narrow" w:hAnsi="Arial Narrow"/>
          <w:b/>
          <w:sz w:val="25"/>
        </w:rPr>
      </w:pPr>
    </w:p>
    <w:p w:rsidR="00B83815" w:rsidRPr="00B818D5" w:rsidRDefault="00B83815" w:rsidP="00B83815">
      <w:pPr>
        <w:pStyle w:val="Sangradetextonormal"/>
        <w:ind w:firstLine="876"/>
        <w:rPr>
          <w:rFonts w:ascii="Arial Narrow" w:hAnsi="Arial Narrow"/>
          <w:sz w:val="22"/>
          <w:szCs w:val="22"/>
        </w:rPr>
      </w:pPr>
      <w:r w:rsidRPr="00B818D5">
        <w:rPr>
          <w:rFonts w:ascii="Arial Narrow" w:hAnsi="Arial Narrow"/>
          <w:sz w:val="22"/>
          <w:szCs w:val="22"/>
        </w:rPr>
        <w:t xml:space="preserve">El balance primario del sector público, definido como la diferencia entre los ingresos totales y los gastos distintos </w:t>
      </w:r>
      <w:r>
        <w:rPr>
          <w:rFonts w:ascii="Arial Narrow" w:hAnsi="Arial Narrow"/>
          <w:sz w:val="22"/>
          <w:szCs w:val="22"/>
        </w:rPr>
        <w:t xml:space="preserve">del costo financiero, </w:t>
      </w:r>
      <w:r w:rsidRPr="00B818D5">
        <w:rPr>
          <w:rFonts w:ascii="Arial Narrow" w:hAnsi="Arial Narrow"/>
          <w:sz w:val="22"/>
          <w:szCs w:val="22"/>
        </w:rPr>
        <w:t>mostró un déficit de</w:t>
      </w:r>
      <w:r>
        <w:rPr>
          <w:rFonts w:ascii="Arial Narrow" w:hAnsi="Arial Narrow"/>
          <w:sz w:val="22"/>
          <w:szCs w:val="22"/>
        </w:rPr>
        <w:t xml:space="preserve"> 217 mil 571</w:t>
      </w:r>
      <w:r w:rsidRPr="00B818D5">
        <w:rPr>
          <w:rFonts w:ascii="Arial Narrow" w:hAnsi="Arial Narrow"/>
          <w:sz w:val="22"/>
          <w:szCs w:val="22"/>
        </w:rPr>
        <w:t xml:space="preserve"> millones de pesos, resultando</w:t>
      </w:r>
      <w:r>
        <w:rPr>
          <w:rFonts w:ascii="Arial Narrow" w:hAnsi="Arial Narrow"/>
          <w:sz w:val="22"/>
          <w:szCs w:val="22"/>
        </w:rPr>
        <w:t xml:space="preserve"> menor en</w:t>
      </w:r>
      <w:r w:rsidRPr="00B818D5">
        <w:rPr>
          <w:rFonts w:ascii="Arial Narrow" w:hAnsi="Arial Narrow"/>
          <w:sz w:val="22"/>
          <w:szCs w:val="22"/>
        </w:rPr>
        <w:t xml:space="preserve"> </w:t>
      </w:r>
      <w:r>
        <w:rPr>
          <w:rFonts w:ascii="Arial Narrow" w:hAnsi="Arial Narrow"/>
          <w:sz w:val="22"/>
          <w:szCs w:val="22"/>
        </w:rPr>
        <w:t xml:space="preserve">21 mil 962 millones de pesos </w:t>
      </w:r>
      <w:r w:rsidRPr="00B818D5">
        <w:rPr>
          <w:rFonts w:ascii="Arial Narrow" w:hAnsi="Arial Narrow"/>
          <w:sz w:val="22"/>
          <w:szCs w:val="22"/>
        </w:rPr>
        <w:t xml:space="preserve">al previsto para </w:t>
      </w:r>
      <w:r>
        <w:rPr>
          <w:rFonts w:ascii="Arial Narrow" w:hAnsi="Arial Narrow"/>
          <w:sz w:val="22"/>
          <w:szCs w:val="22"/>
        </w:rPr>
        <w:t>2015</w:t>
      </w:r>
      <w:r w:rsidRPr="00B818D5">
        <w:rPr>
          <w:rFonts w:ascii="Arial Narrow" w:hAnsi="Arial Narrow"/>
          <w:sz w:val="22"/>
          <w:szCs w:val="22"/>
        </w:rPr>
        <w:t>.</w:t>
      </w:r>
    </w:p>
    <w:p w:rsidR="00B83815" w:rsidRPr="00992D26" w:rsidRDefault="00B83815" w:rsidP="00B83815">
      <w:pPr>
        <w:pStyle w:val="Sangradetextonormal"/>
        <w:ind w:firstLine="876"/>
        <w:rPr>
          <w:rFonts w:ascii="Arial Narrow" w:hAnsi="Arial Narrow"/>
          <w:sz w:val="25"/>
        </w:rPr>
      </w:pPr>
    </w:p>
    <w:p w:rsidR="00B83815" w:rsidRDefault="00B83815" w:rsidP="00B83815">
      <w:pPr>
        <w:pStyle w:val="Sangradetextonormal"/>
        <w:ind w:firstLine="0"/>
        <w:jc w:val="left"/>
        <w:rPr>
          <w:rFonts w:ascii="Arial Narrow" w:hAnsi="Arial Narrow"/>
          <w:b/>
          <w:bCs/>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 Ámbito Estatal</w:t>
      </w:r>
    </w:p>
    <w:p w:rsidR="00B83815" w:rsidRPr="000616EB" w:rsidRDefault="00B83815" w:rsidP="00B83815">
      <w:pPr>
        <w:pStyle w:val="Sangradetextonormal"/>
        <w:ind w:firstLine="0"/>
        <w:jc w:val="left"/>
        <w:rPr>
          <w:rFonts w:ascii="Arial Narrow" w:hAnsi="Arial Narrow"/>
          <w:b/>
          <w:bCs/>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2.1.2.1- Política Económica</w:t>
      </w:r>
    </w:p>
    <w:p w:rsidR="00B83815" w:rsidRDefault="00B83815" w:rsidP="00B83815">
      <w:pPr>
        <w:pStyle w:val="Sangradetextonormal"/>
        <w:spacing w:line="240" w:lineRule="auto"/>
        <w:ind w:firstLine="873"/>
        <w:rPr>
          <w:rFonts w:ascii="Arial Narrow" w:hAnsi="Arial Narrow"/>
          <w:b/>
          <w:bCs/>
          <w:sz w:val="32"/>
          <w:szCs w:val="32"/>
        </w:rPr>
      </w:pPr>
      <w:r w:rsidRPr="00992D26">
        <w:rPr>
          <w:rFonts w:ascii="Arial Narrow" w:hAnsi="Arial Narrow"/>
          <w:b/>
          <w:bCs/>
          <w:sz w:val="32"/>
          <w:szCs w:val="32"/>
        </w:rPr>
        <w:tab/>
      </w:r>
    </w:p>
    <w:p w:rsidR="00B83815" w:rsidRPr="00992D26" w:rsidRDefault="00B83815" w:rsidP="00B83815">
      <w:pPr>
        <w:pStyle w:val="Sangradetextonormal"/>
        <w:spacing w:line="240" w:lineRule="auto"/>
        <w:ind w:firstLine="873"/>
        <w:rPr>
          <w:rFonts w:ascii="Arial Narrow" w:hAnsi="Arial Narrow"/>
          <w:b/>
          <w:bCs/>
          <w:sz w:val="32"/>
          <w:szCs w:val="32"/>
        </w:rPr>
      </w:pPr>
    </w:p>
    <w:p w:rsidR="00B83815" w:rsidRPr="000616EB" w:rsidRDefault="00B83815" w:rsidP="00B83815">
      <w:pPr>
        <w:pStyle w:val="Sangradetextonormal"/>
        <w:ind w:firstLine="876"/>
        <w:rPr>
          <w:rFonts w:ascii="Arial Narrow" w:hAnsi="Arial Narrow"/>
          <w:sz w:val="22"/>
          <w:szCs w:val="22"/>
        </w:rPr>
      </w:pPr>
      <w:r w:rsidRPr="000616EB">
        <w:rPr>
          <w:rFonts w:ascii="Arial Narrow" w:hAnsi="Arial Narrow"/>
          <w:sz w:val="22"/>
          <w:szCs w:val="22"/>
        </w:rPr>
        <w:t>El Plan Estatal de Desarrollo de Nayarit 2011 – 2017 tiene como visión lograr un Estado con altos índices de desarrollo en todas sus regiones, basado en un nuevo modelo, promotor del empleo, aprovechando de manera sustentable los recursos naturales, creando la infraestructura pública y apoyando la investigación científica, tecnológica e innovación que incremente la productividad, detone nuevas opciones que fortalezcan a los diversos sectores económicos y que se traduzca en un crecimiento integral generador de bienestar social, incluyente y equitativo.</w:t>
      </w:r>
    </w:p>
    <w:p w:rsidR="00B83815" w:rsidRPr="000616EB" w:rsidRDefault="00B83815" w:rsidP="00B83815">
      <w:pPr>
        <w:pStyle w:val="Sangradetextonormal"/>
        <w:spacing w:line="480" w:lineRule="auto"/>
        <w:ind w:firstLine="876"/>
        <w:rPr>
          <w:rFonts w:ascii="Arial Narrow" w:hAnsi="Arial Narrow"/>
          <w:sz w:val="22"/>
          <w:szCs w:val="22"/>
        </w:rPr>
      </w:pPr>
    </w:p>
    <w:p w:rsidR="00B83815" w:rsidRDefault="00B83815" w:rsidP="00B83815">
      <w:pPr>
        <w:pStyle w:val="Sangradetextonormal"/>
        <w:ind w:firstLine="876"/>
        <w:rPr>
          <w:rFonts w:ascii="Arial Narrow" w:hAnsi="Arial Narrow"/>
          <w:sz w:val="22"/>
          <w:szCs w:val="22"/>
        </w:rPr>
      </w:pPr>
      <w:r w:rsidRPr="000616EB">
        <w:rPr>
          <w:rFonts w:ascii="Arial Narrow" w:hAnsi="Arial Narrow"/>
          <w:sz w:val="22"/>
          <w:szCs w:val="22"/>
        </w:rPr>
        <w:t>En correspondencia con lo expresado en el párrafo anterior, la Política para el Desarrollo Económico que se plantea en el Plan mencionado, está orientada a la operación de programas de creación regulada de infraestructura y servicios públicos para el desarrollo agropecuario, pesquero, acuícola, silvícola, minero, industrial, manufacturero, turístico, comercial y de servicios, así como acciones de fomento a la inversión pública y privada.</w:t>
      </w:r>
    </w:p>
    <w:p w:rsidR="00B83815" w:rsidRPr="000616EB" w:rsidRDefault="00B83815" w:rsidP="00B83815">
      <w:pPr>
        <w:pStyle w:val="Sangradetextonormal"/>
        <w:ind w:firstLine="876"/>
        <w:rPr>
          <w:rFonts w:ascii="Arial Narrow" w:hAnsi="Arial Narrow"/>
          <w:sz w:val="22"/>
          <w:szCs w:val="22"/>
        </w:rPr>
      </w:pPr>
    </w:p>
    <w:p w:rsidR="00B83815" w:rsidRPr="000616EB" w:rsidRDefault="00B83815" w:rsidP="00B83815">
      <w:pPr>
        <w:pStyle w:val="Sangradetextonormal"/>
        <w:ind w:firstLine="876"/>
        <w:rPr>
          <w:rFonts w:ascii="Arial Narrow" w:hAnsi="Arial Narrow"/>
          <w:sz w:val="22"/>
          <w:szCs w:val="22"/>
        </w:rPr>
      </w:pPr>
      <w:r w:rsidRPr="000616EB">
        <w:rPr>
          <w:rFonts w:ascii="Arial Narrow" w:hAnsi="Arial Narrow"/>
          <w:sz w:val="22"/>
          <w:szCs w:val="22"/>
        </w:rPr>
        <w:lastRenderedPageBreak/>
        <w:t xml:space="preserve">Al respecto, los principales objetivos, estrategias y metas de la Política Económica fijados por la actual administración, se presentan en el siguiente esquema: </w:t>
      </w:r>
    </w:p>
    <w:p w:rsidR="00B83815" w:rsidRDefault="00B83815" w:rsidP="00B83815">
      <w:pPr>
        <w:pStyle w:val="Texto"/>
        <w:ind w:firstLine="0"/>
        <w:jc w:val="center"/>
        <w:outlineLvl w:val="0"/>
        <w:rPr>
          <w:rFonts w:ascii="Arial Narrow" w:hAnsi="Arial Narrow"/>
          <w:b/>
          <w:sz w:val="20"/>
          <w:szCs w:val="20"/>
        </w:rPr>
      </w:pPr>
    </w:p>
    <w:p w:rsidR="00B83815" w:rsidRPr="00992D26" w:rsidRDefault="00B83815" w:rsidP="00B83815">
      <w:pPr>
        <w:pStyle w:val="Texto"/>
        <w:ind w:firstLine="0"/>
        <w:jc w:val="center"/>
        <w:outlineLvl w:val="0"/>
        <w:rPr>
          <w:rFonts w:ascii="Arial Narrow" w:hAnsi="Arial Narrow"/>
          <w:b/>
          <w:sz w:val="20"/>
          <w:szCs w:val="20"/>
        </w:rPr>
      </w:pPr>
    </w:p>
    <w:p w:rsidR="00B83815" w:rsidRPr="00992D26" w:rsidRDefault="00B83815" w:rsidP="00B83815">
      <w:pPr>
        <w:pStyle w:val="Texto"/>
        <w:ind w:firstLine="0"/>
        <w:jc w:val="center"/>
        <w:outlineLvl w:val="0"/>
        <w:rPr>
          <w:rFonts w:ascii="Arial Narrow" w:hAnsi="Arial Narrow"/>
          <w:b/>
          <w:sz w:val="20"/>
          <w:szCs w:val="20"/>
        </w:rPr>
      </w:pPr>
      <w:r w:rsidRPr="00992D26">
        <w:rPr>
          <w:rFonts w:ascii="Arial Narrow" w:hAnsi="Arial Narrow"/>
          <w:b/>
          <w:sz w:val="20"/>
          <w:szCs w:val="20"/>
        </w:rPr>
        <w:t xml:space="preserve">POLÍTICA ECONÓMICA </w:t>
      </w:r>
    </w:p>
    <w:p w:rsidR="00B83815" w:rsidRPr="00992D26" w:rsidRDefault="00B83815" w:rsidP="00B83815">
      <w:pPr>
        <w:pStyle w:val="Texto"/>
        <w:ind w:firstLine="0"/>
        <w:jc w:val="center"/>
        <w:outlineLvl w:val="0"/>
        <w:rPr>
          <w:rFonts w:ascii="Arial Narrow" w:hAnsi="Arial Narrow"/>
          <w:b/>
        </w:rPr>
      </w:pPr>
    </w:p>
    <w:tbl>
      <w:tblPr>
        <w:tblW w:w="8712" w:type="dxa"/>
        <w:jc w:val="center"/>
        <w:tblInd w:w="144" w:type="dxa"/>
        <w:tblBorders>
          <w:top w:val="single" w:sz="12" w:space="0" w:color="auto"/>
          <w:bottom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jc w:val="center"/>
        </w:trPr>
        <w:tc>
          <w:tcPr>
            <w:tcW w:w="9639" w:type="dxa"/>
            <w:noWrap/>
          </w:tcPr>
          <w:p w:rsidR="00B83815" w:rsidRPr="00992D26" w:rsidRDefault="00B83815" w:rsidP="00934835">
            <w:pPr>
              <w:pStyle w:val="Texto"/>
              <w:ind w:firstLine="0"/>
              <w:rPr>
                <w:rFonts w:ascii="Arial Narrow" w:hAnsi="Arial Narrow"/>
                <w:b/>
              </w:rPr>
            </w:pPr>
            <w:r w:rsidRPr="00992D26">
              <w:rPr>
                <w:rFonts w:ascii="Arial Narrow" w:hAnsi="Arial Narrow"/>
                <w:b/>
              </w:rPr>
              <w:t>OBJETIVOS</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Detonar el Crecimiento Económico del Estado.</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Sentar las bases para la generación de empleos permanentes y de calidad.</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Elevar el nivel de vida de las y los Nayaritas.</w:t>
            </w:r>
          </w:p>
        </w:tc>
      </w:tr>
      <w:tr w:rsidR="00B83815" w:rsidRPr="00992D26" w:rsidTr="00934835">
        <w:trPr>
          <w:cantSplit/>
          <w:jc w:val="center"/>
        </w:trPr>
        <w:tc>
          <w:tcPr>
            <w:tcW w:w="9639" w:type="dxa"/>
          </w:tcPr>
          <w:p w:rsidR="00B83815" w:rsidRPr="00992D26" w:rsidRDefault="00B83815" w:rsidP="00934835">
            <w:pPr>
              <w:pStyle w:val="Texto"/>
              <w:ind w:firstLine="0"/>
              <w:rPr>
                <w:rFonts w:ascii="Arial Narrow" w:hAnsi="Arial Narrow"/>
              </w:rPr>
            </w:pPr>
            <w:r w:rsidRPr="00992D26">
              <w:rPr>
                <w:rFonts w:ascii="Arial Narrow" w:hAnsi="Arial Narrow"/>
                <w:b/>
              </w:rPr>
              <w:t>ESTRATEGIAS</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Implementar un programa estratégico de desarrollo industrial del Estado de Nayarit.</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Generar proyectos de gran impacto para el desarrollo estatal aprovechando la infraestructura disponible y el capital humano.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Vincular el sector productivo con la comunidad científica.</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Impulsar la integración del comercio, el abasto y el mercado interno.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Fortalecer actividades de integración de nuevas empresas al mercado.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r>
            <w:proofErr w:type="spellStart"/>
            <w:r w:rsidRPr="00992D26">
              <w:rPr>
                <w:rFonts w:ascii="Arial Narrow" w:hAnsi="Arial Narrow"/>
              </w:rPr>
              <w:t>Eficientar</w:t>
            </w:r>
            <w:proofErr w:type="spellEnd"/>
            <w:r w:rsidRPr="00992D26">
              <w:rPr>
                <w:rFonts w:ascii="Arial Narrow" w:hAnsi="Arial Narrow"/>
              </w:rPr>
              <w:t xml:space="preserve"> la conectividad y articular las regiones del Estado.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Generar un nuevo modelo para el desarrollo rural que mejore la rentabilidad de las actividades productivas.</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Acciones de fomento de la actividad turística, acorde a potencialidades de las diferentes cadenas productivas.</w:t>
            </w:r>
          </w:p>
        </w:tc>
      </w:tr>
      <w:tr w:rsidR="00B83815" w:rsidRPr="00992D26" w:rsidTr="00934835">
        <w:trPr>
          <w:cantSplit/>
          <w:jc w:val="center"/>
        </w:trPr>
        <w:tc>
          <w:tcPr>
            <w:tcW w:w="9639" w:type="dxa"/>
            <w:tcBorders>
              <w:bottom w:val="single" w:sz="12" w:space="0" w:color="auto"/>
            </w:tcBorders>
          </w:tcPr>
          <w:p w:rsidR="00B83815" w:rsidRPr="00992D26" w:rsidRDefault="00B83815" w:rsidP="00934835">
            <w:pPr>
              <w:pStyle w:val="Texto"/>
              <w:ind w:firstLine="0"/>
              <w:rPr>
                <w:rFonts w:ascii="Arial Narrow" w:hAnsi="Arial Narrow"/>
                <w:b/>
              </w:rPr>
            </w:pPr>
            <w:r w:rsidRPr="00992D26">
              <w:rPr>
                <w:rFonts w:ascii="Arial Narrow" w:hAnsi="Arial Narrow"/>
                <w:b/>
              </w:rPr>
              <w:t>METAS</w:t>
            </w:r>
          </w:p>
          <w:p w:rsidR="00B83815" w:rsidRPr="00992D26" w:rsidRDefault="00B83815" w:rsidP="00934835">
            <w:pPr>
              <w:pStyle w:val="Texto"/>
              <w:tabs>
                <w:tab w:val="left" w:pos="727"/>
                <w:tab w:val="left" w:pos="4003"/>
              </w:tabs>
              <w:ind w:left="648" w:hanging="305"/>
              <w:rPr>
                <w:rFonts w:ascii="Arial Narrow" w:hAnsi="Arial Narrow"/>
              </w:rPr>
            </w:pPr>
            <w:r w:rsidRPr="00992D26">
              <w:rPr>
                <w:rFonts w:ascii="Arial Narrow" w:hAnsi="Arial Narrow"/>
              </w:rPr>
              <w:t>●</w:t>
            </w:r>
            <w:r w:rsidRPr="00992D26">
              <w:rPr>
                <w:rFonts w:ascii="Arial Narrow" w:hAnsi="Arial Narrow"/>
              </w:rPr>
              <w:tab/>
              <w:t>Generar empleos calificados en cadenas de valor, que articulen las unidades económicas con los mercados regionales, nacionales e internacionales.</w:t>
            </w:r>
          </w:p>
          <w:p w:rsidR="00B83815" w:rsidRPr="00992D26" w:rsidRDefault="00B83815" w:rsidP="00934835">
            <w:pPr>
              <w:pStyle w:val="Texto"/>
              <w:tabs>
                <w:tab w:val="left" w:pos="288"/>
                <w:tab w:val="left" w:pos="4003"/>
              </w:tabs>
              <w:ind w:left="648" w:hanging="360"/>
              <w:rPr>
                <w:rFonts w:ascii="Arial Narrow" w:hAnsi="Arial Narrow"/>
              </w:rPr>
            </w:pPr>
            <w:r w:rsidRPr="00992D26">
              <w:rPr>
                <w:rFonts w:ascii="Arial Narrow" w:hAnsi="Arial Narrow"/>
              </w:rPr>
              <w:t xml:space="preserve"> ● </w:t>
            </w:r>
            <w:r>
              <w:rPr>
                <w:rFonts w:ascii="Arial Narrow" w:hAnsi="Arial Narrow"/>
              </w:rPr>
              <w:t xml:space="preserve">  </w:t>
            </w:r>
            <w:r w:rsidRPr="00992D26">
              <w:rPr>
                <w:rFonts w:ascii="Arial Narrow" w:hAnsi="Arial Narrow"/>
              </w:rPr>
              <w:t xml:space="preserve"> Impulsar y fortalecer a las medianas, pequeñas y micro empresas, así como incubadoras y emprendedores.</w:t>
            </w:r>
          </w:p>
          <w:p w:rsidR="00B83815" w:rsidRPr="00992D26" w:rsidRDefault="00B83815" w:rsidP="00934835">
            <w:pPr>
              <w:pStyle w:val="Texto"/>
              <w:ind w:left="648" w:hanging="305"/>
              <w:rPr>
                <w:rFonts w:ascii="Arial Narrow" w:hAnsi="Arial Narrow"/>
              </w:rPr>
            </w:pPr>
            <w:r w:rsidRPr="00992D26">
              <w:rPr>
                <w:rFonts w:ascii="Arial Narrow" w:hAnsi="Arial Narrow"/>
              </w:rPr>
              <w:t>●    Incremento sostenido de la productividad y competitividad de las actividades agrícolas, ganaderas, silvícolas, acuícolas y pesqueras.</w:t>
            </w:r>
          </w:p>
          <w:p w:rsidR="00B83815" w:rsidRPr="00992D26" w:rsidRDefault="00B83815" w:rsidP="00934835">
            <w:pPr>
              <w:pStyle w:val="Texto"/>
              <w:ind w:left="703" w:hanging="360"/>
              <w:rPr>
                <w:rFonts w:ascii="Arial Narrow" w:hAnsi="Arial Narrow"/>
              </w:rPr>
            </w:pPr>
            <w:r w:rsidRPr="00992D26">
              <w:rPr>
                <w:rFonts w:ascii="Arial Narrow" w:hAnsi="Arial Narrow"/>
              </w:rPr>
              <w:t>●   Consolidar el turismo como un motor de la actividad económica.</w:t>
            </w:r>
          </w:p>
          <w:p w:rsidR="00B83815" w:rsidRPr="00992D26" w:rsidRDefault="00B83815" w:rsidP="00934835">
            <w:pPr>
              <w:pStyle w:val="Texto"/>
              <w:tabs>
                <w:tab w:val="left" w:pos="727"/>
                <w:tab w:val="left" w:pos="4003"/>
              </w:tabs>
              <w:ind w:left="343" w:firstLine="0"/>
              <w:rPr>
                <w:rFonts w:ascii="Arial Narrow" w:hAnsi="Arial Narrow"/>
              </w:rPr>
            </w:pPr>
            <w:r w:rsidRPr="00992D26">
              <w:rPr>
                <w:rFonts w:ascii="Arial Narrow" w:hAnsi="Arial Narrow"/>
              </w:rPr>
              <w:t>●   Elevar los ingresos de los trabajadores y las trabajadoras.</w:t>
            </w:r>
          </w:p>
        </w:tc>
      </w:tr>
    </w:tbl>
    <w:p w:rsidR="00B83815" w:rsidRPr="00992D26" w:rsidRDefault="00B83815" w:rsidP="00B83815">
      <w:pPr>
        <w:pStyle w:val="Sangradetextonormal"/>
        <w:ind w:left="540"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Desarrollo de Nayarit 2011 - 2017</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 Fisca</w:t>
      </w:r>
      <w:r>
        <w:rPr>
          <w:rFonts w:ascii="Arial Narrow" w:hAnsi="Arial Narrow" w:cs="Arial"/>
          <w:bCs/>
          <w:sz w:val="16"/>
          <w:szCs w:val="16"/>
        </w:rPr>
        <w:t>l 2015</w:t>
      </w: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D6714B" w:rsidRDefault="00B83815" w:rsidP="00B83815">
      <w:pPr>
        <w:pStyle w:val="Sangradetextonormal"/>
        <w:ind w:firstLine="0"/>
        <w:jc w:val="left"/>
        <w:rPr>
          <w:rFonts w:ascii="Arial Narrow" w:hAnsi="Arial Narrow"/>
          <w:b/>
          <w:bCs/>
          <w:szCs w:val="28"/>
        </w:rPr>
      </w:pPr>
      <w:r w:rsidRPr="00D6714B">
        <w:rPr>
          <w:rFonts w:ascii="Arial Narrow" w:hAnsi="Arial Narrow"/>
          <w:b/>
          <w:bCs/>
          <w:szCs w:val="28"/>
        </w:rPr>
        <w:lastRenderedPageBreak/>
        <w:t>2.1.2.2.-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ind w:firstLine="0"/>
        <w:rPr>
          <w:rFonts w:ascii="Arial Narrow" w:hAnsi="Arial Narrow"/>
          <w:sz w:val="22"/>
          <w:szCs w:val="22"/>
        </w:rPr>
      </w:pPr>
      <w:r w:rsidRPr="00992D26">
        <w:rPr>
          <w:rFonts w:ascii="Arial Narrow" w:hAnsi="Arial Narrow"/>
          <w:b/>
          <w:bCs/>
          <w:sz w:val="32"/>
          <w:szCs w:val="32"/>
        </w:rPr>
        <w:tab/>
      </w:r>
      <w:r w:rsidRPr="00D6714B">
        <w:rPr>
          <w:rFonts w:ascii="Arial Narrow" w:hAnsi="Arial Narrow"/>
          <w:sz w:val="22"/>
          <w:szCs w:val="22"/>
        </w:rPr>
        <w:t>En los últimos años, los indicadores posicionan a Nayarit con una concentración de la riqueza en las regiones Centro y Costa Sur, derivado en buena medida por las actividades económicas del comercio y el turismo que se desarrollan en estas zonas.</w:t>
      </w:r>
      <w:r>
        <w:rPr>
          <w:rFonts w:ascii="Arial Narrow" w:hAnsi="Arial Narrow"/>
          <w:sz w:val="22"/>
          <w:szCs w:val="22"/>
        </w:rPr>
        <w:t xml:space="preserve"> </w:t>
      </w:r>
      <w:r w:rsidRPr="00D6714B">
        <w:rPr>
          <w:rFonts w:ascii="Arial Narrow" w:hAnsi="Arial Narrow"/>
          <w:sz w:val="22"/>
          <w:szCs w:val="22"/>
        </w:rPr>
        <w:t>El resto del Estado mantiene fundamentalmente una economía enfocada al sector primario en amplias tierras cultivables y la producción de ganado y productos del mar.</w:t>
      </w:r>
    </w:p>
    <w:p w:rsidR="00B83815" w:rsidRPr="00D6714B" w:rsidRDefault="00B83815" w:rsidP="00B83815">
      <w:pPr>
        <w:pStyle w:val="Sangradetextonormal"/>
        <w:ind w:firstLine="0"/>
        <w:rPr>
          <w:rFonts w:ascii="Arial Narrow" w:hAnsi="Arial Narrow"/>
          <w:sz w:val="22"/>
          <w:szCs w:val="22"/>
        </w:rPr>
      </w:pPr>
    </w:p>
    <w:p w:rsidR="00B83815" w:rsidRPr="00992D26" w:rsidRDefault="00B83815" w:rsidP="00B83815">
      <w:pPr>
        <w:pStyle w:val="Sangradetextonormal"/>
        <w:ind w:firstLine="0"/>
        <w:rPr>
          <w:rFonts w:ascii="Arial Narrow" w:hAnsi="Arial Narrow"/>
          <w:b/>
          <w:bCs/>
          <w:sz w:val="32"/>
          <w:szCs w:val="32"/>
        </w:rPr>
      </w:pPr>
      <w:r w:rsidRPr="00D6714B">
        <w:rPr>
          <w:rFonts w:ascii="Arial Narrow" w:hAnsi="Arial Narrow"/>
          <w:sz w:val="22"/>
          <w:szCs w:val="22"/>
        </w:rPr>
        <w:tab/>
        <w:t>En los siguientes apartados se describe el comportamiento de las principales variables económicas al interior del Estado.</w:t>
      </w:r>
    </w:p>
    <w:p w:rsidR="00B83815" w:rsidRDefault="00B83815"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numPr>
          <w:ilvl w:val="0"/>
          <w:numId w:val="9"/>
        </w:numPr>
        <w:jc w:val="left"/>
        <w:rPr>
          <w:rFonts w:ascii="Arial Narrow" w:hAnsi="Arial Narrow"/>
          <w:b/>
          <w:bCs/>
          <w:szCs w:val="28"/>
        </w:rPr>
      </w:pPr>
      <w:r w:rsidRPr="00D6714B">
        <w:rPr>
          <w:rFonts w:ascii="Arial Narrow" w:hAnsi="Arial Narrow"/>
          <w:b/>
          <w:bCs/>
          <w:szCs w:val="28"/>
        </w:rPr>
        <w:t>Producto Interno Bruto (PIB)</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D6714B" w:rsidRDefault="00B83815" w:rsidP="00B83815">
      <w:pPr>
        <w:pStyle w:val="Sangradetextonormal"/>
        <w:ind w:firstLine="720"/>
        <w:rPr>
          <w:rFonts w:ascii="Arial Narrow" w:hAnsi="Arial Narrow"/>
          <w:sz w:val="22"/>
          <w:szCs w:val="22"/>
        </w:rPr>
      </w:pPr>
      <w:bookmarkStart w:id="0" w:name="OLE_LINK1"/>
      <w:bookmarkStart w:id="1" w:name="OLE_LINK2"/>
      <w:bookmarkStart w:id="2" w:name="OLE_LINK3"/>
      <w:bookmarkStart w:id="3" w:name="OLE_LINK4"/>
      <w:r w:rsidRPr="00D6714B">
        <w:rPr>
          <w:rFonts w:ascii="Arial Narrow" w:hAnsi="Arial Narrow"/>
          <w:sz w:val="22"/>
          <w:szCs w:val="22"/>
        </w:rPr>
        <w:t>Con base en información difundida por el INEGI (Instituto Nacional de Estadística y Geografía) en su portal de internet, se refleja que en el Estado de Nayarit el Prod</w:t>
      </w:r>
      <w:r>
        <w:rPr>
          <w:rFonts w:ascii="Arial Narrow" w:hAnsi="Arial Narrow"/>
          <w:sz w:val="22"/>
          <w:szCs w:val="22"/>
        </w:rPr>
        <w:t>ucto Interno Bruto (PIB) de 2013</w:t>
      </w:r>
      <w:r w:rsidRPr="00D6714B">
        <w:rPr>
          <w:rFonts w:ascii="Arial Narrow" w:hAnsi="Arial Narrow"/>
          <w:sz w:val="22"/>
          <w:szCs w:val="22"/>
        </w:rPr>
        <w:t xml:space="preserve"> se situó en la cantidad de  </w:t>
      </w:r>
      <w:bookmarkEnd w:id="0"/>
      <w:bookmarkEnd w:id="1"/>
      <w:r>
        <w:rPr>
          <w:rFonts w:ascii="Arial Narrow" w:hAnsi="Arial Narrow"/>
          <w:sz w:val="22"/>
          <w:szCs w:val="22"/>
        </w:rPr>
        <w:t>84,254</w:t>
      </w:r>
      <w:r w:rsidRPr="00D6714B">
        <w:rPr>
          <w:rFonts w:ascii="Arial Narrow" w:hAnsi="Arial Narrow"/>
          <w:sz w:val="22"/>
          <w:szCs w:val="22"/>
        </w:rPr>
        <w:t xml:space="preserve"> mi</w:t>
      </w:r>
      <w:r>
        <w:rPr>
          <w:rFonts w:ascii="Arial Narrow" w:hAnsi="Arial Narrow"/>
          <w:sz w:val="22"/>
          <w:szCs w:val="22"/>
        </w:rPr>
        <w:t>llones de pesos, pasando en 2014 al monto de 87,777</w:t>
      </w:r>
      <w:r w:rsidRPr="00D6714B">
        <w:rPr>
          <w:rFonts w:ascii="Arial Narrow" w:hAnsi="Arial Narrow"/>
          <w:sz w:val="22"/>
          <w:szCs w:val="22"/>
        </w:rPr>
        <w:t xml:space="preserve"> millones de pesos, cifras que indican que la participación estatal en el PIB nacional de los años citados, se ubica en 0</w:t>
      </w:r>
      <w:r>
        <w:rPr>
          <w:rFonts w:ascii="Arial Narrow" w:hAnsi="Arial Narrow"/>
          <w:sz w:val="22"/>
          <w:szCs w:val="22"/>
        </w:rPr>
        <w:t>.64 y 0.66</w:t>
      </w:r>
      <w:r w:rsidRPr="00D6714B">
        <w:rPr>
          <w:rFonts w:ascii="Arial Narrow" w:hAnsi="Arial Narrow"/>
          <w:sz w:val="22"/>
          <w:szCs w:val="22"/>
        </w:rPr>
        <w:t xml:space="preserve"> por ciento, respectivamente</w:t>
      </w:r>
      <w:bookmarkEnd w:id="2"/>
      <w:bookmarkEnd w:id="3"/>
      <w:r w:rsidRPr="00D6714B">
        <w:rPr>
          <w:rFonts w:ascii="Arial Narrow" w:hAnsi="Arial Narrow"/>
          <w:sz w:val="22"/>
          <w:szCs w:val="22"/>
        </w:rPr>
        <w:t>.</w:t>
      </w:r>
    </w:p>
    <w:p w:rsidR="00B83815" w:rsidRPr="00D6714B" w:rsidRDefault="00B83815" w:rsidP="00B83815">
      <w:pPr>
        <w:pStyle w:val="Sangradetextonormal"/>
        <w:ind w:left="708" w:firstLine="0"/>
        <w:jc w:val="left"/>
        <w:rPr>
          <w:rFonts w:ascii="Arial Narrow" w:hAnsi="Arial Narrow"/>
          <w:b/>
          <w:bCs/>
          <w:sz w:val="22"/>
          <w:szCs w:val="22"/>
        </w:rPr>
      </w:pPr>
    </w:p>
    <w:p w:rsidR="00B83815"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Los valores enunciados en el párrafo precedente corresponden a precios constantes de 2008, mismos que por actividad económica, se desglosan de la siguiente forma:</w:t>
      </w:r>
    </w:p>
    <w:p w:rsidR="00B83815" w:rsidRPr="00D6714B" w:rsidRDefault="00B83815" w:rsidP="00B83815">
      <w:pPr>
        <w:pStyle w:val="Sangradetextonormal"/>
        <w:ind w:firstLine="720"/>
        <w:rPr>
          <w:rFonts w:ascii="Arial Narrow" w:hAnsi="Arial Narrow"/>
          <w:sz w:val="22"/>
          <w:szCs w:val="22"/>
        </w:rPr>
      </w:pPr>
    </w:p>
    <w:p w:rsidR="00B83815" w:rsidRPr="00992D26" w:rsidRDefault="00303B1A" w:rsidP="00B83815">
      <w:pPr>
        <w:pStyle w:val="Sangradetextonormal"/>
        <w:ind w:firstLine="720"/>
        <w:rPr>
          <w:rFonts w:ascii="Arial Narrow" w:hAnsi="Arial Narrow"/>
          <w:sz w:val="25"/>
        </w:rPr>
      </w:pPr>
      <w:r>
        <w:rPr>
          <w:rFonts w:ascii="Arial Narrow" w:hAnsi="Arial Narrow"/>
          <w:noProof/>
        </w:rPr>
        <w:pict>
          <v:shape id="_x0000_s1026" type="#_x0000_t75" style="position:absolute;left:0;text-align:left;margin-left:2.25pt;margin-top:.9pt;width:443.55pt;height:107.1pt;z-index:251659264;mso-position-horizontal-relative:text;mso-position-vertical-relative:text">
            <v:imagedata r:id="rId12" o:title=""/>
          </v:shape>
          <o:OLEObject Type="Embed" ProgID="Excel.Sheet.12" ShapeID="_x0000_s1026" DrawAspect="Content" ObjectID="_1521633387" r:id="rId13"/>
        </w:pic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0"/>
        <w:rPr>
          <w:rFonts w:ascii="Arial Narrow" w:hAnsi="Arial Narrow"/>
          <w:bCs/>
          <w:sz w:val="18"/>
          <w:szCs w:val="18"/>
        </w:rPr>
      </w:pPr>
      <w:r w:rsidRPr="00992D26">
        <w:rPr>
          <w:rFonts w:ascii="Arial Narrow" w:hAnsi="Arial Narrow"/>
          <w:bCs/>
          <w:sz w:val="18"/>
          <w:szCs w:val="18"/>
        </w:rPr>
        <w:t xml:space="preserve">        </w:t>
      </w: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lastRenderedPageBreak/>
        <w:t>De acuerdo con las cifras mostradas en el</w:t>
      </w:r>
      <w:r>
        <w:rPr>
          <w:rFonts w:ascii="Arial Narrow" w:hAnsi="Arial Narrow"/>
          <w:sz w:val="22"/>
          <w:szCs w:val="22"/>
        </w:rPr>
        <w:t xml:space="preserve"> cuadro anterior, en el año 2014</w:t>
      </w:r>
      <w:r w:rsidRPr="00D6714B">
        <w:rPr>
          <w:rFonts w:ascii="Arial Narrow" w:hAnsi="Arial Narrow"/>
          <w:sz w:val="22"/>
          <w:szCs w:val="22"/>
        </w:rPr>
        <w:t xml:space="preserve"> sobresalen las act</w:t>
      </w:r>
      <w:r>
        <w:rPr>
          <w:rFonts w:ascii="Arial Narrow" w:hAnsi="Arial Narrow"/>
          <w:sz w:val="22"/>
          <w:szCs w:val="22"/>
        </w:rPr>
        <w:t>ividades terciarias con un 71.48</w:t>
      </w:r>
      <w:r w:rsidRPr="00D6714B">
        <w:rPr>
          <w:rFonts w:ascii="Arial Narrow" w:hAnsi="Arial Narrow"/>
          <w:sz w:val="22"/>
          <w:szCs w:val="22"/>
        </w:rPr>
        <w:t>% del total reportado, destacando al interior de este rubro, por su mayor cuantía, el Comercio así como las Servicios inmobiliarios y de alquiler de bienes muebles e intangibles.</w:t>
      </w:r>
    </w:p>
    <w:p w:rsidR="00B83815" w:rsidRPr="00D6714B" w:rsidRDefault="00B83815" w:rsidP="00B83815">
      <w:pPr>
        <w:pStyle w:val="Sangradetextonormal"/>
        <w:ind w:firstLine="720"/>
        <w:rPr>
          <w:rFonts w:ascii="Arial Narrow" w:hAnsi="Arial Narrow"/>
          <w:sz w:val="22"/>
          <w:szCs w:val="22"/>
        </w:rPr>
      </w:pP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En la siguiente gráfica se ilustra la evolución que ha tenido el PIB en el Estado de Nayarit</w:t>
      </w:r>
      <w:r>
        <w:rPr>
          <w:rFonts w:ascii="Arial Narrow" w:hAnsi="Arial Narrow"/>
          <w:sz w:val="22"/>
          <w:szCs w:val="22"/>
        </w:rPr>
        <w:t xml:space="preserve"> en los últimos cinco años (2010 a 2014</w:t>
      </w:r>
      <w:r w:rsidRPr="00D6714B">
        <w:rPr>
          <w:rFonts w:ascii="Arial Narrow" w:hAnsi="Arial Narrow"/>
          <w:sz w:val="22"/>
          <w:szCs w:val="22"/>
        </w:rPr>
        <w:t>) con valores considerados en millones de pesos a precios constantes de 2008:</w: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r>
        <w:rPr>
          <w:noProof/>
          <w:lang w:val="es-MX" w:eastAsia="es-MX"/>
        </w:rPr>
        <w:drawing>
          <wp:anchor distT="0" distB="0" distL="114300" distR="114300" simplePos="0" relativeHeight="251661312" behindDoc="0" locked="0" layoutInCell="1" allowOverlap="1" wp14:anchorId="7542E044" wp14:editId="21A27F39">
            <wp:simplePos x="0" y="0"/>
            <wp:positionH relativeFrom="column">
              <wp:posOffset>-69850</wp:posOffset>
            </wp:positionH>
            <wp:positionV relativeFrom="paragraph">
              <wp:posOffset>90170</wp:posOffset>
            </wp:positionV>
            <wp:extent cx="5734050" cy="3257550"/>
            <wp:effectExtent l="0" t="0" r="0" b="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B83815" w:rsidRPr="00352CE6" w:rsidRDefault="00B83815" w:rsidP="00B83815">
      <w:pPr>
        <w:pStyle w:val="Sangradetextonormal"/>
        <w:ind w:firstLine="720"/>
        <w:rPr>
          <w:rFonts w:ascii="Arial Narrow" w:hAnsi="Arial Narrow"/>
          <w:bCs/>
          <w:sz w:val="20"/>
        </w:rPr>
      </w:pPr>
      <w:r w:rsidRPr="00352CE6">
        <w:rPr>
          <w:rFonts w:ascii="Arial Narrow" w:hAnsi="Arial Narrow"/>
          <w:bCs/>
          <w:sz w:val="20"/>
        </w:rPr>
        <w:t>Fuente: INEGI</w:t>
      </w: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spacing w:line="480" w:lineRule="auto"/>
        <w:ind w:firstLine="720"/>
        <w:rPr>
          <w:rFonts w:ascii="Arial Narrow" w:hAnsi="Arial Narrow"/>
          <w:b/>
          <w:bCs/>
          <w:sz w:val="32"/>
          <w:szCs w:val="32"/>
        </w:rPr>
      </w:pPr>
    </w:p>
    <w:p w:rsidR="00B83815" w:rsidRDefault="00B83815" w:rsidP="00B83815">
      <w:pPr>
        <w:pStyle w:val="Sangradetextonormal"/>
        <w:spacing w:line="480" w:lineRule="auto"/>
        <w:ind w:firstLine="720"/>
        <w:rPr>
          <w:rFonts w:ascii="Arial Narrow" w:hAnsi="Arial Narrow"/>
          <w:b/>
          <w:bCs/>
          <w:sz w:val="32"/>
          <w:szCs w:val="32"/>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Empleo</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Con base en datos provenientes de los Resultados de la Encuesta Nacional de Ocupación y Emple</w:t>
      </w:r>
      <w:r>
        <w:rPr>
          <w:rFonts w:ascii="Arial Narrow" w:hAnsi="Arial Narrow"/>
          <w:sz w:val="22"/>
          <w:szCs w:val="22"/>
        </w:rPr>
        <w:t>o (ENOE),  en el cuarto trimestre de 2015</w:t>
      </w:r>
      <w:r w:rsidRPr="00E55E3E">
        <w:rPr>
          <w:rFonts w:ascii="Arial Narrow" w:hAnsi="Arial Narrow"/>
          <w:sz w:val="22"/>
          <w:szCs w:val="22"/>
        </w:rPr>
        <w:t>, publicados por el Instituto Nacional de Estadística y Geografía (INEGI), en el estado de Nayarit la población de 15 años y más disponible para producir bienes y s</w:t>
      </w:r>
      <w:r>
        <w:rPr>
          <w:rFonts w:ascii="Arial Narrow" w:hAnsi="Arial Narrow"/>
          <w:sz w:val="22"/>
          <w:szCs w:val="22"/>
        </w:rPr>
        <w:t>ervicios en la entidad fue de 585.7 mil personas, 65.6</w:t>
      </w:r>
      <w:r w:rsidRPr="00E55E3E">
        <w:rPr>
          <w:rFonts w:ascii="Arial Narrow" w:hAnsi="Arial Narrow"/>
          <w:sz w:val="22"/>
          <w:szCs w:val="22"/>
        </w:rPr>
        <w:t>% del total, cuando un</w:t>
      </w:r>
      <w:r>
        <w:rPr>
          <w:rFonts w:ascii="Arial Narrow" w:hAnsi="Arial Narrow"/>
          <w:sz w:val="22"/>
          <w:szCs w:val="22"/>
        </w:rPr>
        <w:t xml:space="preserve"> año antes esta cifra fue de 555.3 mil (63.9</w:t>
      </w:r>
      <w:r w:rsidRPr="00E55E3E">
        <w:rPr>
          <w:rFonts w:ascii="Arial Narrow" w:hAnsi="Arial Narrow"/>
          <w:sz w:val="22"/>
          <w:szCs w:val="22"/>
        </w:rPr>
        <w:t xml:space="preserve">%). Mientras que 80 de cada 100 hombres en estas edades son económicamente activos, en el </w:t>
      </w:r>
      <w:r>
        <w:rPr>
          <w:rFonts w:ascii="Arial Narrow" w:hAnsi="Arial Narrow"/>
          <w:sz w:val="22"/>
          <w:szCs w:val="22"/>
        </w:rPr>
        <w:t>caso de las mujeres solamente 52</w:t>
      </w:r>
      <w:r w:rsidRPr="00E55E3E">
        <w:rPr>
          <w:rFonts w:ascii="Arial Narrow" w:hAnsi="Arial Narrow"/>
          <w:sz w:val="22"/>
          <w:szCs w:val="22"/>
        </w:rPr>
        <w:t xml:space="preserve"> de cada 100 están en esta situación.</w:t>
      </w:r>
    </w:p>
    <w:p w:rsidR="00B83815" w:rsidRPr="00E55E3E" w:rsidRDefault="00B83815"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Al considerar a la población ocupada con relación al sector económico en e</w:t>
      </w:r>
      <w:r>
        <w:rPr>
          <w:rFonts w:ascii="Arial Narrow" w:hAnsi="Arial Narrow"/>
          <w:sz w:val="22"/>
          <w:szCs w:val="22"/>
        </w:rPr>
        <w:t>l que labora, se observa que 121.2 mil personas (21</w:t>
      </w:r>
      <w:r w:rsidRPr="00E55E3E">
        <w:rPr>
          <w:rFonts w:ascii="Arial Narrow" w:hAnsi="Arial Narrow"/>
          <w:sz w:val="22"/>
          <w:szCs w:val="22"/>
        </w:rPr>
        <w:t>.7% del total) trabajan en el sector pr</w:t>
      </w:r>
      <w:r>
        <w:rPr>
          <w:rFonts w:ascii="Arial Narrow" w:hAnsi="Arial Narrow"/>
          <w:sz w:val="22"/>
          <w:szCs w:val="22"/>
        </w:rPr>
        <w:t>imario, 91.4 mil (16.3</w:t>
      </w:r>
      <w:r w:rsidRPr="00E55E3E">
        <w:rPr>
          <w:rFonts w:ascii="Arial Narrow" w:hAnsi="Arial Narrow"/>
          <w:sz w:val="22"/>
          <w:szCs w:val="22"/>
        </w:rPr>
        <w:t>%) en e</w:t>
      </w:r>
      <w:r>
        <w:rPr>
          <w:rFonts w:ascii="Arial Narrow" w:hAnsi="Arial Narrow"/>
          <w:sz w:val="22"/>
          <w:szCs w:val="22"/>
        </w:rPr>
        <w:t>l secundario o industrial, y 342.7 mil (61.3</w:t>
      </w:r>
      <w:r w:rsidRPr="00E55E3E">
        <w:rPr>
          <w:rFonts w:ascii="Arial Narrow" w:hAnsi="Arial Narrow"/>
          <w:sz w:val="22"/>
          <w:szCs w:val="22"/>
        </w:rPr>
        <w:t>%) están en el terciario o de los servicios. El restante 0.7% no especificó su actividad económica.</w:t>
      </w:r>
    </w:p>
    <w:p w:rsidR="00B83815" w:rsidRPr="00E55E3E" w:rsidRDefault="00B83815"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Pr>
          <w:rFonts w:ascii="Arial Narrow" w:hAnsi="Arial Narrow"/>
          <w:sz w:val="22"/>
          <w:szCs w:val="22"/>
        </w:rPr>
        <w:t>En el cuarto trimestre de 2015</w:t>
      </w:r>
      <w:r w:rsidRPr="00E55E3E">
        <w:rPr>
          <w:rFonts w:ascii="Arial Narrow" w:hAnsi="Arial Narrow"/>
          <w:sz w:val="22"/>
          <w:szCs w:val="22"/>
        </w:rPr>
        <w:t>, la ocupación en el</w:t>
      </w:r>
      <w:r>
        <w:rPr>
          <w:rFonts w:ascii="Arial Narrow" w:hAnsi="Arial Narrow"/>
          <w:sz w:val="22"/>
          <w:szCs w:val="22"/>
        </w:rPr>
        <w:t xml:space="preserve"> sector primario aumentó 11.5 mil trabajadores, en el secundario 11.4</w:t>
      </w:r>
      <w:r w:rsidRPr="00E55E3E">
        <w:rPr>
          <w:rFonts w:ascii="Arial Narrow" w:hAnsi="Arial Narrow"/>
          <w:sz w:val="22"/>
          <w:szCs w:val="22"/>
        </w:rPr>
        <w:t xml:space="preserve"> </w:t>
      </w:r>
      <w:r>
        <w:rPr>
          <w:rFonts w:ascii="Arial Narrow" w:hAnsi="Arial Narrow"/>
          <w:sz w:val="22"/>
          <w:szCs w:val="22"/>
        </w:rPr>
        <w:t xml:space="preserve">mil y </w:t>
      </w:r>
      <w:r w:rsidRPr="00E55E3E">
        <w:rPr>
          <w:rFonts w:ascii="Arial Narrow" w:hAnsi="Arial Narrow"/>
          <w:sz w:val="22"/>
          <w:szCs w:val="22"/>
        </w:rPr>
        <w:t xml:space="preserve"> en el</w:t>
      </w:r>
      <w:r>
        <w:rPr>
          <w:rFonts w:ascii="Arial Narrow" w:hAnsi="Arial Narrow"/>
          <w:sz w:val="22"/>
          <w:szCs w:val="22"/>
        </w:rPr>
        <w:t xml:space="preserve"> sector terciario 5.5</w:t>
      </w:r>
      <w:r w:rsidRPr="00E55E3E">
        <w:rPr>
          <w:rFonts w:ascii="Arial Narrow" w:hAnsi="Arial Narrow"/>
          <w:sz w:val="22"/>
          <w:szCs w:val="22"/>
        </w:rPr>
        <w:t xml:space="preserve"> mil empleados, en el mismo periodo.</w:t>
      </w:r>
    </w:p>
    <w:p w:rsidR="00B83815" w:rsidRPr="00E55E3E" w:rsidRDefault="00B83815"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Otro enfoque desde el cual puede caracterizarse a la población ocupada es el que se refiere al tamaño de unidad económica en la que labora. En función de ello, si sólo se toma en cuenta al ámbito n</w:t>
      </w:r>
      <w:r>
        <w:rPr>
          <w:rFonts w:ascii="Arial Narrow" w:hAnsi="Arial Narrow"/>
          <w:sz w:val="22"/>
          <w:szCs w:val="22"/>
        </w:rPr>
        <w:t>o agropecuario (que abarca al 77.6</w:t>
      </w:r>
      <w:r w:rsidRPr="00E55E3E">
        <w:rPr>
          <w:rFonts w:ascii="Arial Narrow" w:hAnsi="Arial Narrow"/>
          <w:sz w:val="22"/>
          <w:szCs w:val="22"/>
        </w:rPr>
        <w:t xml:space="preserve">% de la población ocupada), </w:t>
      </w:r>
      <w:r>
        <w:rPr>
          <w:rFonts w:ascii="Arial Narrow" w:hAnsi="Arial Narrow"/>
          <w:sz w:val="22"/>
          <w:szCs w:val="22"/>
        </w:rPr>
        <w:t>al cuarto trimestre de 2015</w:t>
      </w:r>
      <w:r w:rsidRPr="00E55E3E">
        <w:rPr>
          <w:rFonts w:ascii="Arial Narrow" w:hAnsi="Arial Narrow"/>
          <w:sz w:val="22"/>
          <w:szCs w:val="22"/>
        </w:rPr>
        <w:t>, los trabajadores se distribuyen en las siguientes unidades económicas:</w:t>
      </w:r>
    </w:p>
    <w:p w:rsidR="00B83815" w:rsidRPr="00E55E3E" w:rsidRDefault="00B83815" w:rsidP="00B83815">
      <w:pPr>
        <w:pStyle w:val="Sangradetextonormal"/>
        <w:spacing w:line="240" w:lineRule="auto"/>
        <w:ind w:firstLine="720"/>
        <w:rPr>
          <w:rFonts w:ascii="Arial Narrow" w:hAnsi="Arial Narrow"/>
          <w:sz w:val="22"/>
          <w:szCs w:val="22"/>
        </w:rPr>
      </w:pPr>
    </w:p>
    <w:p w:rsidR="00B83815" w:rsidRPr="00E55E3E" w:rsidRDefault="00B83815" w:rsidP="00B83815">
      <w:pPr>
        <w:pStyle w:val="Sangradetextonormal"/>
        <w:ind w:left="697" w:firstLine="720"/>
        <w:rPr>
          <w:rFonts w:ascii="Arial Narrow" w:hAnsi="Arial Narrow"/>
          <w:sz w:val="22"/>
          <w:szCs w:val="22"/>
        </w:rPr>
      </w:pPr>
      <w:proofErr w:type="spellStart"/>
      <w:r w:rsidRPr="00E55E3E">
        <w:rPr>
          <w:rFonts w:ascii="Arial Narrow" w:hAnsi="Arial Narrow"/>
          <w:sz w:val="22"/>
          <w:szCs w:val="22"/>
        </w:rPr>
        <w:t>Micronegocios</w:t>
      </w:r>
      <w:proofErr w:type="spellEnd"/>
      <w:r w:rsidRPr="00E55E3E">
        <w:rPr>
          <w:rFonts w:ascii="Arial Narrow" w:hAnsi="Arial Narrow"/>
          <w:sz w:val="22"/>
          <w:szCs w:val="22"/>
        </w:rPr>
        <w:tab/>
      </w:r>
      <w:r w:rsidRPr="00E55E3E">
        <w:rPr>
          <w:rFonts w:ascii="Arial Narrow" w:hAnsi="Arial Narrow"/>
          <w:sz w:val="22"/>
          <w:szCs w:val="22"/>
        </w:rPr>
        <w:tab/>
        <w:t xml:space="preserve">          </w:t>
      </w:r>
      <w:r>
        <w:rPr>
          <w:rFonts w:ascii="Arial Narrow" w:hAnsi="Arial Narrow"/>
          <w:sz w:val="22"/>
          <w:szCs w:val="22"/>
        </w:rPr>
        <w:t xml:space="preserve">   227.8</w:t>
      </w:r>
      <w:r w:rsidRPr="00E55E3E">
        <w:rPr>
          <w:rFonts w:ascii="Arial Narrow" w:hAnsi="Arial Narrow"/>
          <w:sz w:val="22"/>
          <w:szCs w:val="22"/>
        </w:rPr>
        <w:t xml:space="preserve"> mil </w:t>
      </w:r>
      <w:r w:rsidRPr="00E55E3E">
        <w:rPr>
          <w:rFonts w:ascii="Arial Narrow" w:hAnsi="Arial Narrow"/>
          <w:sz w:val="22"/>
          <w:szCs w:val="22"/>
        </w:rPr>
        <w:tab/>
      </w:r>
      <w:r>
        <w:rPr>
          <w:rFonts w:ascii="Arial Narrow" w:hAnsi="Arial Narrow"/>
          <w:sz w:val="22"/>
          <w:szCs w:val="22"/>
        </w:rPr>
        <w:t>52.5</w:t>
      </w:r>
      <w:r w:rsidRPr="00E55E3E">
        <w:rPr>
          <w:rFonts w:ascii="Arial Narrow" w:hAnsi="Arial Narrow"/>
          <w:sz w:val="22"/>
          <w:szCs w:val="22"/>
        </w:rPr>
        <w:t>%</w:t>
      </w:r>
    </w:p>
    <w:p w:rsidR="00B83815" w:rsidRPr="00E55E3E" w:rsidRDefault="00B83815" w:rsidP="00B83815">
      <w:pPr>
        <w:pStyle w:val="Sangradetextonormal"/>
        <w:ind w:left="696" w:firstLine="720"/>
        <w:rPr>
          <w:rFonts w:ascii="Arial Narrow" w:hAnsi="Arial Narrow"/>
          <w:sz w:val="22"/>
          <w:szCs w:val="22"/>
        </w:rPr>
      </w:pPr>
      <w:r w:rsidRPr="00E55E3E">
        <w:rPr>
          <w:rFonts w:ascii="Arial Narrow" w:hAnsi="Arial Narrow"/>
          <w:sz w:val="22"/>
          <w:szCs w:val="22"/>
        </w:rPr>
        <w:t xml:space="preserve">Establecimientos </w:t>
      </w:r>
      <w:r>
        <w:rPr>
          <w:rFonts w:ascii="Arial Narrow" w:hAnsi="Arial Narrow"/>
          <w:sz w:val="22"/>
          <w:szCs w:val="22"/>
        </w:rPr>
        <w:t>pequeños</w:t>
      </w:r>
      <w:r>
        <w:rPr>
          <w:rFonts w:ascii="Arial Narrow" w:hAnsi="Arial Narrow"/>
          <w:sz w:val="22"/>
          <w:szCs w:val="22"/>
        </w:rPr>
        <w:tab/>
        <w:t>78.8 mil</w:t>
      </w:r>
      <w:r>
        <w:rPr>
          <w:rFonts w:ascii="Arial Narrow" w:hAnsi="Arial Narrow"/>
          <w:sz w:val="22"/>
          <w:szCs w:val="22"/>
        </w:rPr>
        <w:tab/>
      </w:r>
      <w:r>
        <w:rPr>
          <w:rFonts w:ascii="Arial Narrow" w:hAnsi="Arial Narrow"/>
          <w:sz w:val="22"/>
          <w:szCs w:val="22"/>
        </w:rPr>
        <w:tab/>
        <w:t>18.2</w:t>
      </w:r>
      <w:r w:rsidRPr="00E55E3E">
        <w:rPr>
          <w:rFonts w:ascii="Arial Narrow" w:hAnsi="Arial Narrow"/>
          <w:sz w:val="22"/>
          <w:szCs w:val="22"/>
        </w:rPr>
        <w:t>%</w:t>
      </w:r>
    </w:p>
    <w:p w:rsidR="00B83815" w:rsidRPr="00E55E3E" w:rsidRDefault="00B83815" w:rsidP="00B83815">
      <w:pPr>
        <w:pStyle w:val="Sangradetextonormal"/>
        <w:ind w:left="697" w:firstLine="720"/>
        <w:rPr>
          <w:rFonts w:ascii="Arial Narrow" w:hAnsi="Arial Narrow"/>
          <w:sz w:val="22"/>
          <w:szCs w:val="22"/>
        </w:rPr>
      </w:pPr>
      <w:r>
        <w:rPr>
          <w:rFonts w:ascii="Arial Narrow" w:hAnsi="Arial Narrow"/>
          <w:sz w:val="22"/>
          <w:szCs w:val="22"/>
        </w:rPr>
        <w:t>Establecimientos medianos</w:t>
      </w:r>
      <w:r>
        <w:rPr>
          <w:rFonts w:ascii="Arial Narrow" w:hAnsi="Arial Narrow"/>
          <w:sz w:val="22"/>
          <w:szCs w:val="22"/>
        </w:rPr>
        <w:tab/>
        <w:t>35.6</w:t>
      </w:r>
      <w:r w:rsidRPr="00E55E3E">
        <w:rPr>
          <w:rFonts w:ascii="Arial Narrow" w:hAnsi="Arial Narrow"/>
          <w:sz w:val="22"/>
          <w:szCs w:val="22"/>
        </w:rPr>
        <w:t xml:space="preserve"> mil</w:t>
      </w:r>
      <w:r w:rsidRPr="00E55E3E">
        <w:rPr>
          <w:rFonts w:ascii="Arial Narrow" w:hAnsi="Arial Narrow"/>
          <w:sz w:val="22"/>
          <w:szCs w:val="22"/>
        </w:rPr>
        <w:tab/>
      </w:r>
      <w:r w:rsidRPr="00E55E3E">
        <w:rPr>
          <w:rFonts w:ascii="Arial Narrow" w:hAnsi="Arial Narrow"/>
          <w:sz w:val="22"/>
          <w:szCs w:val="22"/>
        </w:rPr>
        <w:tab/>
        <w:t xml:space="preserve">  8.2%</w:t>
      </w:r>
    </w:p>
    <w:p w:rsidR="00B83815" w:rsidRPr="00E55E3E" w:rsidRDefault="00B83815" w:rsidP="00B83815">
      <w:pPr>
        <w:pStyle w:val="Sangradetextonormal"/>
        <w:ind w:left="697" w:firstLine="720"/>
        <w:rPr>
          <w:rFonts w:ascii="Arial Narrow" w:hAnsi="Arial Narrow"/>
          <w:sz w:val="22"/>
          <w:szCs w:val="22"/>
        </w:rPr>
      </w:pPr>
      <w:r w:rsidRPr="00E55E3E">
        <w:rPr>
          <w:rFonts w:ascii="Arial Narrow" w:hAnsi="Arial Narrow"/>
          <w:sz w:val="22"/>
          <w:szCs w:val="22"/>
        </w:rPr>
        <w:t>Establecimientos grandes</w:t>
      </w:r>
      <w:r w:rsidRPr="00E55E3E">
        <w:rPr>
          <w:rFonts w:ascii="Arial Narrow" w:hAnsi="Arial Narrow"/>
          <w:sz w:val="22"/>
          <w:szCs w:val="22"/>
        </w:rPr>
        <w:tab/>
      </w:r>
      <w:r>
        <w:rPr>
          <w:rFonts w:ascii="Arial Narrow" w:hAnsi="Arial Narrow"/>
          <w:sz w:val="22"/>
          <w:szCs w:val="22"/>
        </w:rPr>
        <w:tab/>
        <w:t>32.9</w:t>
      </w:r>
      <w:r w:rsidRPr="00E55E3E">
        <w:rPr>
          <w:rFonts w:ascii="Arial Narrow" w:hAnsi="Arial Narrow"/>
          <w:sz w:val="22"/>
          <w:szCs w:val="22"/>
        </w:rPr>
        <w:t xml:space="preserve"> mil</w:t>
      </w:r>
      <w:r w:rsidRPr="00E55E3E">
        <w:rPr>
          <w:rFonts w:ascii="Arial Narrow" w:hAnsi="Arial Narrow"/>
          <w:sz w:val="22"/>
          <w:szCs w:val="22"/>
        </w:rPr>
        <w:tab/>
      </w:r>
      <w:r w:rsidRPr="00E55E3E">
        <w:rPr>
          <w:rFonts w:ascii="Arial Narrow" w:hAnsi="Arial Narrow"/>
          <w:sz w:val="22"/>
          <w:szCs w:val="22"/>
        </w:rPr>
        <w:tab/>
        <w:t xml:space="preserve">  </w:t>
      </w:r>
      <w:r>
        <w:rPr>
          <w:rFonts w:ascii="Arial Narrow" w:hAnsi="Arial Narrow"/>
          <w:sz w:val="22"/>
          <w:szCs w:val="22"/>
        </w:rPr>
        <w:t>7.6</w:t>
      </w:r>
      <w:r w:rsidRPr="00E55E3E">
        <w:rPr>
          <w:rFonts w:ascii="Arial Narrow" w:hAnsi="Arial Narrow"/>
          <w:sz w:val="22"/>
          <w:szCs w:val="22"/>
        </w:rPr>
        <w:t>%</w:t>
      </w:r>
    </w:p>
    <w:p w:rsidR="00B83815" w:rsidRPr="00E55E3E" w:rsidRDefault="00B83815" w:rsidP="00B83815">
      <w:pPr>
        <w:pStyle w:val="Sangradetextonormal"/>
        <w:ind w:left="697" w:firstLine="720"/>
        <w:rPr>
          <w:rFonts w:ascii="Arial Narrow" w:hAnsi="Arial Narrow"/>
          <w:sz w:val="22"/>
          <w:szCs w:val="22"/>
        </w:rPr>
      </w:pPr>
      <w:r w:rsidRPr="00E55E3E">
        <w:rPr>
          <w:rFonts w:ascii="Arial Narrow" w:hAnsi="Arial Narrow"/>
          <w:sz w:val="22"/>
          <w:szCs w:val="22"/>
        </w:rPr>
        <w:t>Otro tipo</w:t>
      </w:r>
      <w:r w:rsidRPr="00E55E3E">
        <w:rPr>
          <w:rFonts w:ascii="Arial Narrow" w:hAnsi="Arial Narrow"/>
          <w:sz w:val="22"/>
          <w:szCs w:val="22"/>
        </w:rPr>
        <w:tab/>
      </w:r>
      <w:r w:rsidRPr="00E55E3E">
        <w:rPr>
          <w:rFonts w:ascii="Arial Narrow" w:hAnsi="Arial Narrow"/>
          <w:sz w:val="22"/>
          <w:szCs w:val="22"/>
        </w:rPr>
        <w:tab/>
      </w:r>
      <w:r w:rsidRPr="00E55E3E">
        <w:rPr>
          <w:rFonts w:ascii="Arial Narrow" w:hAnsi="Arial Narrow"/>
          <w:sz w:val="22"/>
          <w:szCs w:val="22"/>
        </w:rPr>
        <w:tab/>
      </w:r>
      <w:r>
        <w:rPr>
          <w:rFonts w:ascii="Arial Narrow" w:hAnsi="Arial Narrow"/>
          <w:sz w:val="22"/>
          <w:szCs w:val="22"/>
        </w:rPr>
        <w:tab/>
        <w:t>58.7 mil</w:t>
      </w:r>
      <w:r>
        <w:rPr>
          <w:rFonts w:ascii="Arial Narrow" w:hAnsi="Arial Narrow"/>
          <w:sz w:val="22"/>
          <w:szCs w:val="22"/>
        </w:rPr>
        <w:tab/>
      </w:r>
      <w:r>
        <w:rPr>
          <w:rFonts w:ascii="Arial Narrow" w:hAnsi="Arial Narrow"/>
          <w:sz w:val="22"/>
          <w:szCs w:val="22"/>
        </w:rPr>
        <w:tab/>
        <w:t>13.5</w:t>
      </w:r>
      <w:r w:rsidRPr="00E55E3E">
        <w:rPr>
          <w:rFonts w:ascii="Arial Narrow" w:hAnsi="Arial Narrow"/>
          <w:sz w:val="22"/>
          <w:szCs w:val="22"/>
        </w:rPr>
        <w:t xml:space="preserve"> %</w:t>
      </w:r>
    </w:p>
    <w:p w:rsidR="00B83815" w:rsidRPr="00E55E3E" w:rsidRDefault="00B83815"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lastRenderedPageBreak/>
        <w:t>De acuerdo con información arrojada por la encuesta,</w:t>
      </w:r>
      <w:r>
        <w:rPr>
          <w:rFonts w:ascii="Arial Narrow" w:hAnsi="Arial Narrow"/>
          <w:sz w:val="22"/>
          <w:szCs w:val="22"/>
        </w:rPr>
        <w:t xml:space="preserve"> el 49.1</w:t>
      </w:r>
      <w:r w:rsidRPr="00E55E3E">
        <w:rPr>
          <w:rFonts w:ascii="Arial Narrow" w:hAnsi="Arial Narrow"/>
          <w:sz w:val="22"/>
          <w:szCs w:val="22"/>
        </w:rPr>
        <w:t>% de los trabajadores subordinados y remunerados tienen acceso a instituciones de salud com</w:t>
      </w:r>
      <w:r>
        <w:rPr>
          <w:rFonts w:ascii="Arial Narrow" w:hAnsi="Arial Narrow"/>
          <w:sz w:val="22"/>
          <w:szCs w:val="22"/>
        </w:rPr>
        <w:t>o prestación por su trabajo y 49.9</w:t>
      </w:r>
      <w:r w:rsidRPr="00E55E3E">
        <w:rPr>
          <w:rFonts w:ascii="Arial Narrow" w:hAnsi="Arial Narrow"/>
          <w:sz w:val="22"/>
          <w:szCs w:val="22"/>
        </w:rPr>
        <w:t>% no cuentan con este apoyo. A su vez, 46.6% disponen de un contrato por escrito y 53.0% no cuentan con el mismo.</w:t>
      </w:r>
    </w:p>
    <w:p w:rsidR="00B83815" w:rsidRPr="00992D26" w:rsidRDefault="00B83815" w:rsidP="00B83815">
      <w:pPr>
        <w:pStyle w:val="Sangradetextonormal"/>
        <w:ind w:firstLine="720"/>
        <w:rPr>
          <w:rFonts w:ascii="Arial Narrow" w:hAnsi="Arial Narrow"/>
          <w:sz w:val="25"/>
        </w:rPr>
      </w:pPr>
      <w:r w:rsidRPr="00992D26">
        <w:rPr>
          <w:rFonts w:ascii="Arial Narrow" w:hAnsi="Arial Narrow"/>
          <w:sz w:val="25"/>
        </w:rPr>
        <w:t xml:space="preserve"> </w:t>
      </w: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Por otra parte y con base en información publicada por la Secretaría del Trabajo y Previsión Social en su portal oficial de inte</w:t>
      </w:r>
      <w:r>
        <w:rPr>
          <w:rFonts w:ascii="Arial Narrow" w:hAnsi="Arial Narrow"/>
          <w:sz w:val="22"/>
          <w:szCs w:val="22"/>
        </w:rPr>
        <w:t>rnet, al 31 de Diciembre de 2015</w:t>
      </w:r>
      <w:r w:rsidRPr="00E55E3E">
        <w:rPr>
          <w:rFonts w:ascii="Arial Narrow" w:hAnsi="Arial Narrow"/>
          <w:sz w:val="22"/>
          <w:szCs w:val="22"/>
        </w:rPr>
        <w:t xml:space="preserve"> el número de trabajadores asegurados en el IMSS (Instituto Mexicano del Seguro Social) correspondiente al Estado de Nayari</w:t>
      </w:r>
      <w:r>
        <w:rPr>
          <w:rFonts w:ascii="Arial Narrow" w:hAnsi="Arial Narrow"/>
          <w:sz w:val="22"/>
          <w:szCs w:val="22"/>
        </w:rPr>
        <w:t>t fue de 130,439</w:t>
      </w:r>
      <w:r w:rsidRPr="00E55E3E">
        <w:rPr>
          <w:rFonts w:ascii="Arial Narrow" w:hAnsi="Arial Narrow"/>
          <w:sz w:val="22"/>
          <w:szCs w:val="22"/>
        </w:rPr>
        <w:t>, teniendo durante este año el comportamiento que se aprecia en la gráfica siguiente:</w:t>
      </w:r>
    </w:p>
    <w:p w:rsidR="00B83815"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r>
        <w:rPr>
          <w:noProof/>
          <w:lang w:val="es-MX" w:eastAsia="es-MX"/>
        </w:rPr>
        <w:drawing>
          <wp:anchor distT="0" distB="0" distL="114300" distR="114300" simplePos="0" relativeHeight="251660288" behindDoc="0" locked="0" layoutInCell="1" allowOverlap="1" wp14:anchorId="71F7848C" wp14:editId="3FA4DCB4">
            <wp:simplePos x="0" y="0"/>
            <wp:positionH relativeFrom="column">
              <wp:posOffset>149225</wp:posOffset>
            </wp:positionH>
            <wp:positionV relativeFrom="paragraph">
              <wp:posOffset>34290</wp:posOffset>
            </wp:positionV>
            <wp:extent cx="5457825" cy="3086100"/>
            <wp:effectExtent l="19050" t="19050" r="9525" b="19050"/>
            <wp:wrapNone/>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Pr="00992D26" w:rsidRDefault="00B83815" w:rsidP="00B83815">
      <w:pPr>
        <w:pStyle w:val="Sangradetextonormal"/>
        <w:ind w:left="708" w:firstLine="360"/>
        <w:jc w:val="left"/>
        <w:rPr>
          <w:rFonts w:ascii="Arial Narrow" w:hAnsi="Arial Narrow"/>
          <w:bCs/>
          <w:sz w:val="16"/>
          <w:szCs w:val="16"/>
        </w:rPr>
      </w:pPr>
      <w:r w:rsidRPr="00992D26">
        <w:rPr>
          <w:rFonts w:ascii="Arial Narrow" w:hAnsi="Arial Narrow"/>
          <w:bCs/>
          <w:sz w:val="16"/>
          <w:szCs w:val="16"/>
        </w:rPr>
        <w:t>Fuente: Secretaría del Trabajo y Previsión Social</w:t>
      </w:r>
    </w:p>
    <w:p w:rsidR="00B83815" w:rsidRPr="00992D26"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B83815" w:rsidRPr="00352CE6" w:rsidRDefault="00B83815" w:rsidP="00B83815">
      <w:pPr>
        <w:pStyle w:val="Sangradetextonormal"/>
        <w:ind w:firstLine="720"/>
        <w:rPr>
          <w:rFonts w:ascii="Arial Narrow" w:hAnsi="Arial Narrow"/>
          <w:bCs/>
          <w:sz w:val="20"/>
        </w:rPr>
      </w:pPr>
      <w:r>
        <w:rPr>
          <w:rFonts w:ascii="Arial Narrow" w:hAnsi="Arial Narrow"/>
          <w:bCs/>
          <w:sz w:val="20"/>
        </w:rPr>
        <w:t>Fuente: Secretaría del Trabajo y Previsión Social</w:t>
      </w:r>
    </w:p>
    <w:p w:rsidR="00B83815"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Inflación</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E55E3E" w:rsidRDefault="00B83815" w:rsidP="00B83815">
      <w:pPr>
        <w:pStyle w:val="Sangradetextonormal"/>
        <w:ind w:firstLine="720"/>
        <w:rPr>
          <w:rFonts w:ascii="Arial Narrow" w:hAnsi="Arial Narrow"/>
          <w:sz w:val="22"/>
          <w:szCs w:val="22"/>
        </w:rPr>
      </w:pPr>
      <w:r>
        <w:rPr>
          <w:rFonts w:ascii="Arial Narrow" w:hAnsi="Arial Narrow"/>
          <w:sz w:val="22"/>
          <w:szCs w:val="22"/>
        </w:rPr>
        <w:t>En diciembre de 2015</w:t>
      </w:r>
      <w:r w:rsidRPr="00E55E3E">
        <w:rPr>
          <w:rFonts w:ascii="Arial Narrow" w:hAnsi="Arial Narrow"/>
          <w:sz w:val="22"/>
          <w:szCs w:val="22"/>
        </w:rPr>
        <w:t xml:space="preserve"> el Índice Nacional de Precios al Consumidor (INPC) en la ciudad de Tepic, capital del Estado de Nayarit, registró un incremento de 0.43 por ciento. De esta forma la tasa de inflación </w:t>
      </w:r>
      <w:r>
        <w:rPr>
          <w:rFonts w:ascii="Arial Narrow" w:hAnsi="Arial Narrow"/>
          <w:sz w:val="22"/>
          <w:szCs w:val="22"/>
        </w:rPr>
        <w:t>anual se situó en 2.14</w:t>
      </w:r>
      <w:r w:rsidRPr="00E55E3E">
        <w:rPr>
          <w:rFonts w:ascii="Arial Narrow" w:hAnsi="Arial Narrow"/>
          <w:sz w:val="22"/>
          <w:szCs w:val="22"/>
        </w:rPr>
        <w:t xml:space="preserve"> por ciento, mient</w:t>
      </w:r>
      <w:r>
        <w:rPr>
          <w:rFonts w:ascii="Arial Narrow" w:hAnsi="Arial Narrow"/>
          <w:sz w:val="22"/>
          <w:szCs w:val="22"/>
        </w:rPr>
        <w:t>ras que en el último mes de 2014</w:t>
      </w:r>
      <w:r w:rsidRPr="00E55E3E">
        <w:rPr>
          <w:rFonts w:ascii="Arial Narrow" w:hAnsi="Arial Narrow"/>
          <w:sz w:val="22"/>
          <w:szCs w:val="22"/>
        </w:rPr>
        <w:t xml:space="preserve"> </w:t>
      </w:r>
      <w:r>
        <w:rPr>
          <w:rFonts w:ascii="Arial Narrow" w:hAnsi="Arial Narrow"/>
          <w:sz w:val="22"/>
          <w:szCs w:val="22"/>
        </w:rPr>
        <w:t>la inflación se ubicó en 3.63</w:t>
      </w:r>
      <w:r w:rsidRPr="00E55E3E">
        <w:rPr>
          <w:rFonts w:ascii="Arial Narrow" w:hAnsi="Arial Narrow"/>
          <w:sz w:val="22"/>
          <w:szCs w:val="22"/>
        </w:rPr>
        <w:t xml:space="preserve"> por ciento.</w:t>
      </w: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E55E3E" w:rsidRDefault="00B83815" w:rsidP="00B83815">
      <w:pPr>
        <w:pStyle w:val="Sangradetextonormal"/>
        <w:ind w:firstLine="0"/>
        <w:jc w:val="left"/>
        <w:rPr>
          <w:rFonts w:ascii="Arial Narrow" w:hAnsi="Arial Narrow"/>
          <w:b/>
          <w:bCs/>
          <w:szCs w:val="28"/>
        </w:rPr>
      </w:pPr>
      <w:r w:rsidRPr="00E55E3E">
        <w:rPr>
          <w:rFonts w:ascii="Arial Narrow" w:hAnsi="Arial Narrow"/>
          <w:b/>
          <w:bCs/>
          <w:szCs w:val="28"/>
        </w:rPr>
        <w:t>2.1.2.3.- Postura Fiscal</w:t>
      </w: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Default="00B83815" w:rsidP="00B83815">
      <w:pPr>
        <w:pStyle w:val="Sangradetextonormal"/>
        <w:spacing w:line="240" w:lineRule="exact"/>
        <w:ind w:left="539" w:firstLine="0"/>
        <w:jc w:val="left"/>
        <w:rPr>
          <w:rFonts w:ascii="Arial Narrow" w:hAnsi="Arial Narrow"/>
          <w:b/>
          <w:bCs/>
          <w:sz w:val="32"/>
          <w:szCs w:val="32"/>
        </w:rPr>
      </w:pP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En la Iniciativa de Ley de Ingresos y Proyecto de Presupuesto de Egres</w:t>
      </w:r>
      <w:r>
        <w:rPr>
          <w:rFonts w:ascii="Arial Narrow" w:hAnsi="Arial Narrow"/>
          <w:sz w:val="22"/>
          <w:szCs w:val="22"/>
        </w:rPr>
        <w:t>os para el Ejercicio Fiscal 2015</w:t>
      </w:r>
      <w:r w:rsidRPr="00E55E3E">
        <w:rPr>
          <w:rFonts w:ascii="Arial Narrow" w:hAnsi="Arial Narrow"/>
          <w:sz w:val="22"/>
          <w:szCs w:val="22"/>
        </w:rPr>
        <w:t>, presentadas por el Poder Ejecutivo al H. Congreso del Estado se enfatizó que para este año se inte</w:t>
      </w:r>
      <w:r>
        <w:rPr>
          <w:rFonts w:ascii="Arial Narrow" w:hAnsi="Arial Narrow"/>
          <w:sz w:val="22"/>
          <w:szCs w:val="22"/>
        </w:rPr>
        <w:t xml:space="preserve">gró un paquete económico que dará continuidad </w:t>
      </w:r>
      <w:r w:rsidRPr="00E55E3E">
        <w:rPr>
          <w:rFonts w:ascii="Arial Narrow" w:hAnsi="Arial Narrow"/>
          <w:sz w:val="22"/>
          <w:szCs w:val="22"/>
        </w:rPr>
        <w:t>a</w:t>
      </w:r>
      <w:r>
        <w:rPr>
          <w:rFonts w:ascii="Arial Narrow" w:hAnsi="Arial Narrow"/>
          <w:sz w:val="22"/>
          <w:szCs w:val="22"/>
        </w:rPr>
        <w:t xml:space="preserve"> la</w:t>
      </w:r>
      <w:r w:rsidRPr="00E55E3E">
        <w:rPr>
          <w:rFonts w:ascii="Arial Narrow" w:hAnsi="Arial Narrow"/>
          <w:sz w:val="22"/>
          <w:szCs w:val="22"/>
        </w:rPr>
        <w:t xml:space="preserve"> estrategia de alcance multianual de las finanzas públicas con el fin de forjar el rumbo de los proyectos y programas en el mediano y largo plazo.</w:t>
      </w:r>
    </w:p>
    <w:p w:rsidR="00B83815" w:rsidRDefault="00B83815" w:rsidP="00B83815">
      <w:pPr>
        <w:pStyle w:val="Sangradetextonormal"/>
        <w:ind w:left="540"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b/>
          <w:bCs/>
          <w:sz w:val="32"/>
          <w:szCs w:val="32"/>
        </w:rPr>
      </w:pPr>
    </w:p>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t>Política Fiscal</w:t>
      </w:r>
    </w:p>
    <w:p w:rsidR="00B83815" w:rsidRDefault="00B83815" w:rsidP="00B83815">
      <w:pPr>
        <w:pStyle w:val="Sangradetextonormal"/>
        <w:spacing w:line="240" w:lineRule="exact"/>
        <w:ind w:left="709" w:firstLine="0"/>
        <w:jc w:val="left"/>
        <w:rPr>
          <w:rFonts w:ascii="Arial Narrow" w:hAnsi="Arial Narrow"/>
          <w:b/>
          <w:bCs/>
          <w:sz w:val="32"/>
          <w:szCs w:val="32"/>
        </w:rPr>
      </w:pP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E55E3E" w:rsidRDefault="00B83815" w:rsidP="00B83815">
      <w:pPr>
        <w:pStyle w:val="Sangradetextonormal"/>
        <w:ind w:firstLine="708"/>
        <w:rPr>
          <w:rFonts w:ascii="Arial Narrow" w:hAnsi="Arial Narrow"/>
          <w:sz w:val="22"/>
          <w:szCs w:val="22"/>
        </w:rPr>
      </w:pPr>
      <w:r w:rsidRPr="00E55E3E">
        <w:rPr>
          <w:rFonts w:ascii="Arial Narrow" w:hAnsi="Arial Narrow"/>
          <w:sz w:val="22"/>
          <w:szCs w:val="22"/>
        </w:rPr>
        <w:t>En el</w:t>
      </w:r>
      <w:r>
        <w:rPr>
          <w:rFonts w:ascii="Arial Narrow" w:hAnsi="Arial Narrow"/>
          <w:sz w:val="22"/>
          <w:szCs w:val="22"/>
        </w:rPr>
        <w:t xml:space="preserve"> paquete fiscal para el año 2015</w:t>
      </w:r>
      <w:r w:rsidRPr="00E55E3E">
        <w:rPr>
          <w:rFonts w:ascii="Arial Narrow" w:hAnsi="Arial Narrow"/>
          <w:sz w:val="22"/>
          <w:szCs w:val="22"/>
        </w:rPr>
        <w:t xml:space="preserve"> se enfatizó que quedó formulado con estricto apego a criterios de disciplina y responsabilidad en la materia, sustentado en un marco de restricciones macroeconómicas caracterizadas por un entorno internacional de gran inestabilidad </w:t>
      </w:r>
      <w:r>
        <w:rPr>
          <w:rFonts w:ascii="Arial Narrow" w:hAnsi="Arial Narrow"/>
          <w:sz w:val="22"/>
          <w:szCs w:val="22"/>
        </w:rPr>
        <w:t>y considerando que la economía mexicana se encuentra creciendo por debajo de su potencial debido a factores externos</w:t>
      </w:r>
      <w:r w:rsidRPr="00E55E3E">
        <w:rPr>
          <w:rFonts w:ascii="Arial Narrow" w:hAnsi="Arial Narrow"/>
          <w:sz w:val="22"/>
          <w:szCs w:val="22"/>
        </w:rPr>
        <w:t>, por lo que los principales objetivos, estrategias y metas de la Política Fiscal fijados por la actual administración</w:t>
      </w:r>
      <w:r>
        <w:rPr>
          <w:rFonts w:ascii="Arial Narrow" w:hAnsi="Arial Narrow"/>
          <w:sz w:val="22"/>
          <w:szCs w:val="22"/>
        </w:rPr>
        <w:t xml:space="preserve"> estatal</w:t>
      </w:r>
      <w:r w:rsidRPr="00E55E3E">
        <w:rPr>
          <w:rFonts w:ascii="Arial Narrow" w:hAnsi="Arial Narrow"/>
          <w:sz w:val="22"/>
          <w:szCs w:val="22"/>
        </w:rPr>
        <w:t xml:space="preserve">, se presentan en el siguiente esquema: </w:t>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Texto"/>
        <w:spacing w:line="225" w:lineRule="exact"/>
        <w:ind w:firstLine="0"/>
        <w:jc w:val="center"/>
        <w:outlineLvl w:val="0"/>
        <w:rPr>
          <w:rFonts w:ascii="Arial Narrow" w:hAnsi="Arial Narrow"/>
          <w:b/>
          <w:sz w:val="20"/>
          <w:szCs w:val="20"/>
        </w:rPr>
      </w:pPr>
    </w:p>
    <w:p w:rsidR="00B83815" w:rsidRPr="00992D26" w:rsidRDefault="00B83815" w:rsidP="00B83815">
      <w:pPr>
        <w:pStyle w:val="Texto"/>
        <w:spacing w:line="225" w:lineRule="exact"/>
        <w:ind w:firstLine="0"/>
        <w:jc w:val="center"/>
        <w:outlineLvl w:val="0"/>
        <w:rPr>
          <w:rFonts w:ascii="Arial Narrow" w:hAnsi="Arial Narrow"/>
          <w:b/>
          <w:sz w:val="20"/>
          <w:szCs w:val="20"/>
        </w:rPr>
      </w:pPr>
      <w:r w:rsidRPr="00992D26">
        <w:rPr>
          <w:rFonts w:ascii="Arial Narrow" w:hAnsi="Arial Narrow"/>
          <w:b/>
          <w:sz w:val="20"/>
          <w:szCs w:val="20"/>
        </w:rPr>
        <w:t>POLÍTICA FISCAL</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9639"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OBJETIVOS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Mejora y Modernización de la Gestión del Gobierno Estatal que redunde en ahorros significativos desde el primer año de gobierno y a lo largo del sexenio.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Reencauzamiento de recursos para el incremento del gasto de inversión pública en sectores que requieren atención inmediata como son el campo, la rehabilitación de caminos, los concernientes a la salud de la población y principalmente a la seguridad pública.</w:t>
            </w:r>
          </w:p>
        </w:tc>
      </w:tr>
      <w:tr w:rsidR="00B83815" w:rsidRPr="00992D26" w:rsidTr="00934835">
        <w:trPr>
          <w:cantSplit/>
          <w:trHeight w:val="195"/>
          <w:jc w:val="center"/>
        </w:trPr>
        <w:tc>
          <w:tcPr>
            <w:tcW w:w="9639" w:type="dxa"/>
            <w:tcBorders>
              <w:top w:val="single" w:sz="6" w:space="0" w:color="000000"/>
              <w:bottom w:val="single" w:sz="6"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ESTRATEGIAS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Alcance multianual de las finanzas públicas.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Reconducción presupuestal.</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Implementación de medidas de austeridad sin dañar las funciones del Estado.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Implementación de medidas y programas para fortalecer la recaudación de los ingresos propios, sin menoscabar la economía de los nayaritas.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Evolucionar y diversificar las fuentes de financiamiento, mediante una actitud dinámica, proactiva y con visión de futuro, dejando atrás la actitud pasiva de solo esperar la llegada de las participaciones federales.</w:t>
            </w:r>
          </w:p>
        </w:tc>
      </w:tr>
      <w:tr w:rsidR="00B83815" w:rsidRPr="00992D26" w:rsidTr="00934835">
        <w:trPr>
          <w:cantSplit/>
          <w:trHeight w:val="195"/>
          <w:jc w:val="center"/>
        </w:trPr>
        <w:tc>
          <w:tcPr>
            <w:tcW w:w="9639"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METAS</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Recuperación y saneamiento de las Finanzas de la Entidad para contar con una estructura de pasivos más favorable para la Hacienda Pública.</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Crecimiento económico del Estado.</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 xml:space="preserve">Generación de empleos. </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Reactivación de la economía local.</w:t>
            </w:r>
          </w:p>
          <w:p w:rsidR="00B83815" w:rsidRPr="00992D26" w:rsidRDefault="00B83815" w:rsidP="00934835">
            <w:pPr>
              <w:pStyle w:val="Texto"/>
              <w:tabs>
                <w:tab w:val="left" w:pos="4371"/>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Atención integral en favor de la gente, a través de diversos programas productivos y sociales que mejoren las condiciones de vida de quien los recibe.</w:t>
            </w:r>
          </w:p>
        </w:tc>
      </w:tr>
      <w:tr w:rsidR="00B83815" w:rsidRPr="00992D26" w:rsidTr="00934835">
        <w:trPr>
          <w:cantSplit/>
          <w:trHeight w:val="195"/>
          <w:jc w:val="center"/>
        </w:trPr>
        <w:tc>
          <w:tcPr>
            <w:tcW w:w="9639" w:type="dxa"/>
            <w:tcBorders>
              <w:top w:val="single" w:sz="18" w:space="0" w:color="000000"/>
            </w:tcBorders>
          </w:tcPr>
          <w:p w:rsidR="00B83815" w:rsidRPr="00992D26" w:rsidRDefault="00B83815" w:rsidP="00934835">
            <w:pPr>
              <w:pStyle w:val="Sangradetextonormal"/>
              <w:ind w:left="540" w:firstLine="0"/>
              <w:jc w:val="left"/>
              <w:rPr>
                <w:rFonts w:ascii="Arial Narrow" w:hAnsi="Arial Narrow" w:cs="Arial"/>
                <w:b/>
                <w:bCs/>
                <w:sz w:val="16"/>
                <w:szCs w:val="16"/>
              </w:rPr>
            </w:pP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Desarrollo de Nayarit 2011 - 2017</w:t>
            </w: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Pr>
                <w:rFonts w:ascii="Arial Narrow" w:hAnsi="Arial Narrow" w:cs="Arial"/>
                <w:bCs/>
                <w:sz w:val="16"/>
                <w:szCs w:val="16"/>
              </w:rPr>
              <w:t>Paquete Fiscal 2015</w:t>
            </w:r>
          </w:p>
          <w:p w:rsidR="00B83815" w:rsidRPr="00992D26" w:rsidRDefault="00B83815" w:rsidP="00934835">
            <w:pPr>
              <w:pStyle w:val="Texto"/>
              <w:spacing w:line="225" w:lineRule="exact"/>
              <w:ind w:firstLine="0"/>
              <w:rPr>
                <w:rFonts w:ascii="Arial Narrow" w:hAnsi="Arial Narrow"/>
              </w:rPr>
            </w:pPr>
          </w:p>
          <w:p w:rsidR="00B83815" w:rsidRPr="00992D26" w:rsidRDefault="00B83815" w:rsidP="00934835">
            <w:pPr>
              <w:pStyle w:val="Texto"/>
              <w:spacing w:line="225" w:lineRule="exact"/>
              <w:ind w:firstLine="0"/>
              <w:rPr>
                <w:rFonts w:ascii="Arial Narrow" w:hAnsi="Arial Narrow"/>
              </w:rPr>
            </w:pPr>
          </w:p>
        </w:tc>
      </w:tr>
    </w:tbl>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t>Líneas de Acción</w:t>
      </w:r>
    </w:p>
    <w:p w:rsidR="00B83815" w:rsidRPr="00992D26" w:rsidRDefault="00B83815" w:rsidP="00B83815">
      <w:pPr>
        <w:pStyle w:val="Sangradetextonormal"/>
        <w:spacing w:line="240" w:lineRule="auto"/>
        <w:ind w:left="709"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E55E3E">
        <w:rPr>
          <w:rFonts w:ascii="Arial Narrow" w:hAnsi="Arial Narrow"/>
          <w:sz w:val="22"/>
          <w:szCs w:val="22"/>
        </w:rPr>
        <w:t xml:space="preserve">Considerando que la finalidad que persigue el Gobierno siempre debe ser el incremento de la cantidad y calidad de los bienes y servicios públicos, la reducción del gasto administrativo y operacional, buscando en </w:t>
      </w:r>
      <w:r w:rsidRPr="00E55E3E">
        <w:rPr>
          <w:rFonts w:ascii="Arial Narrow" w:hAnsi="Arial Narrow"/>
          <w:sz w:val="22"/>
          <w:szCs w:val="22"/>
        </w:rPr>
        <w:lastRenderedPageBreak/>
        <w:t>todo momento el bienestar de la sociedad, a continuación se enuncian las líneas de acción del Poder Ejecutivo en materia de finanzas públicas:</w:t>
      </w:r>
    </w:p>
    <w:p w:rsidR="00B83815" w:rsidRPr="00E55E3E" w:rsidRDefault="00B83815" w:rsidP="00B83815">
      <w:pPr>
        <w:pStyle w:val="Sangradetextonormal"/>
        <w:ind w:firstLine="708"/>
        <w:rPr>
          <w:rFonts w:ascii="Arial Narrow" w:hAnsi="Arial Narrow"/>
          <w:sz w:val="22"/>
          <w:szCs w:val="22"/>
        </w:rPr>
      </w:pPr>
    </w:p>
    <w:p w:rsidR="00B83815" w:rsidRPr="00992D26" w:rsidRDefault="00B83815" w:rsidP="00B83815">
      <w:pPr>
        <w:pStyle w:val="Texto"/>
        <w:spacing w:line="225" w:lineRule="exact"/>
        <w:ind w:firstLine="0"/>
        <w:jc w:val="center"/>
        <w:outlineLvl w:val="0"/>
        <w:rPr>
          <w:rFonts w:ascii="Arial Narrow" w:hAnsi="Arial Narrow"/>
          <w:b/>
        </w:rPr>
      </w:pPr>
      <w:r w:rsidRPr="00992D26">
        <w:rPr>
          <w:rFonts w:ascii="Arial Narrow" w:hAnsi="Arial Narrow"/>
          <w:b/>
          <w:sz w:val="20"/>
          <w:szCs w:val="20"/>
        </w:rPr>
        <w:t>LÍNEAS DE ACCIÓN</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8712"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INGRESOS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Ampliar la base gravable.</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Depuración de padrones.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Facilitación en el pago de impuestos.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Mantener el factor de actualización anual en base a su incremento indexado al del Salario Mínimo.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Modificar algunos conceptos de Derechos y ajustar sus costos a la oferta del mercado, en virtud de que el Estado no recupera el costo que implica la prestación de diversos servicios.</w:t>
            </w:r>
          </w:p>
        </w:tc>
      </w:tr>
      <w:tr w:rsidR="00B83815" w:rsidRPr="00992D26" w:rsidTr="00934835">
        <w:trPr>
          <w:cantSplit/>
          <w:trHeight w:val="195"/>
          <w:jc w:val="center"/>
        </w:trPr>
        <w:tc>
          <w:tcPr>
            <w:tcW w:w="8712"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GASTO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Política de austeridad en la contratación de bienes y servicios, así como en el gasto de operación de las dependencias y entidades paraestatales.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Reconducción relevante de los  recursos hacia la inversión pública, el campo, la salud, la seguridad pública y el desarrollo social en general.</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Desarrollo de Nayarit 2011 - 2017</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Pr>
          <w:rFonts w:ascii="Arial Narrow" w:hAnsi="Arial Narrow" w:cs="Arial"/>
          <w:bCs/>
          <w:sz w:val="16"/>
          <w:szCs w:val="16"/>
        </w:rPr>
        <w:t>Paquete Fiscal 2015</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A143DE" w:rsidRDefault="00B83815" w:rsidP="00B83815">
      <w:pPr>
        <w:pStyle w:val="Sangradetextonormal"/>
        <w:ind w:firstLine="0"/>
        <w:jc w:val="left"/>
        <w:rPr>
          <w:rFonts w:ascii="Arial Narrow" w:hAnsi="Arial Narrow"/>
          <w:b/>
          <w:bCs/>
          <w:szCs w:val="28"/>
        </w:rPr>
      </w:pPr>
      <w:r w:rsidRPr="00A143DE">
        <w:rPr>
          <w:rFonts w:ascii="Arial Narrow" w:hAnsi="Arial Narrow"/>
          <w:b/>
          <w:bCs/>
          <w:szCs w:val="28"/>
        </w:rPr>
        <w:t>2.1.2.4.- Resultados obtenidos</w:t>
      </w:r>
    </w:p>
    <w:p w:rsidR="00B83815" w:rsidRDefault="00B83815" w:rsidP="00B83815">
      <w:pPr>
        <w:pStyle w:val="Sangradetextonormal"/>
        <w:spacing w:line="240" w:lineRule="exact"/>
        <w:ind w:left="709" w:firstLine="0"/>
        <w:jc w:val="left"/>
        <w:rPr>
          <w:rFonts w:ascii="Arial Narrow" w:hAnsi="Arial Narrow"/>
          <w:b/>
          <w:bCs/>
          <w:sz w:val="32"/>
          <w:szCs w:val="32"/>
        </w:rPr>
      </w:pP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A143DE" w:rsidRDefault="00B83815" w:rsidP="00B83815">
      <w:pPr>
        <w:pStyle w:val="Sangradetextonormal"/>
        <w:ind w:firstLine="708"/>
        <w:rPr>
          <w:rFonts w:ascii="Arial Narrow" w:hAnsi="Arial Narrow"/>
          <w:sz w:val="22"/>
          <w:szCs w:val="22"/>
        </w:rPr>
      </w:pPr>
      <w:r w:rsidRPr="00A143DE">
        <w:rPr>
          <w:rFonts w:ascii="Arial Narrow" w:hAnsi="Arial Narrow"/>
          <w:sz w:val="22"/>
          <w:szCs w:val="22"/>
        </w:rPr>
        <w:t xml:space="preserve">En esta sección se destacan los resultados alcanzados en la gestión financiera emprendida durante el </w:t>
      </w:r>
      <w:r>
        <w:rPr>
          <w:rFonts w:ascii="Arial Narrow" w:hAnsi="Arial Narrow"/>
          <w:sz w:val="22"/>
          <w:szCs w:val="22"/>
        </w:rPr>
        <w:t>Ejercicio Fiscal 2015</w:t>
      </w:r>
      <w:r w:rsidRPr="00A143DE">
        <w:rPr>
          <w:rFonts w:ascii="Arial Narrow" w:hAnsi="Arial Narrow"/>
          <w:sz w:val="22"/>
          <w:szCs w:val="22"/>
        </w:rPr>
        <w:t xml:space="preserve"> derivado de la puesta en práctica de los objetivos, estrategias y metas de la política fiscal establecidos para el periodo que nos ocupa.</w:t>
      </w:r>
    </w:p>
    <w:p w:rsidR="00B83815" w:rsidRPr="00A143DE" w:rsidRDefault="00B83815" w:rsidP="00B83815">
      <w:pPr>
        <w:pStyle w:val="Sangradetextonormal"/>
        <w:ind w:firstLine="708"/>
        <w:rPr>
          <w:rFonts w:ascii="Arial Narrow" w:hAnsi="Arial Narrow"/>
          <w:sz w:val="22"/>
          <w:szCs w:val="22"/>
        </w:rPr>
      </w:pPr>
    </w:p>
    <w:p w:rsidR="00B83815" w:rsidRPr="00A143DE" w:rsidRDefault="00B83815" w:rsidP="00B83815">
      <w:pPr>
        <w:pStyle w:val="Sangradetextonormal"/>
        <w:ind w:firstLine="708"/>
        <w:rPr>
          <w:rFonts w:ascii="Arial Narrow" w:hAnsi="Arial Narrow"/>
          <w:sz w:val="22"/>
          <w:szCs w:val="22"/>
        </w:rPr>
      </w:pPr>
      <w:r w:rsidRPr="00A143DE">
        <w:rPr>
          <w:rFonts w:ascii="Arial Narrow" w:hAnsi="Arial Narrow"/>
          <w:sz w:val="22"/>
          <w:szCs w:val="22"/>
        </w:rPr>
        <w:t>En cumplimiento a lo dispuesto en el Capítulo VII del Manual de Contabilidad Gubernamental, en la página siguiente se presenta el cuadro denominado Indicadores de Postura Fiscal.</w:t>
      </w:r>
    </w:p>
    <w:p w:rsidR="00B83815" w:rsidRPr="00992D26" w:rsidRDefault="00B83815" w:rsidP="00B83815">
      <w:pPr>
        <w:pStyle w:val="Sangradetextonormal"/>
        <w:ind w:firstLine="708"/>
        <w:rPr>
          <w:rFonts w:ascii="Arial Narrow" w:hAnsi="Arial Narrow"/>
          <w:b/>
          <w:bCs/>
          <w:sz w:val="32"/>
          <w:szCs w:val="32"/>
        </w:rPr>
      </w:pPr>
    </w:p>
    <w:p w:rsidR="00B83815" w:rsidRPr="00992D26" w:rsidRDefault="00303B1A" w:rsidP="00B83815">
      <w:pPr>
        <w:pStyle w:val="Sangradetextonormal"/>
        <w:ind w:left="708" w:firstLine="0"/>
        <w:jc w:val="left"/>
        <w:rPr>
          <w:rFonts w:ascii="Arial Narrow" w:hAnsi="Arial Narrow"/>
          <w:b/>
          <w:bCs/>
          <w:sz w:val="32"/>
          <w:szCs w:val="32"/>
        </w:rPr>
      </w:pPr>
      <w:r>
        <w:rPr>
          <w:rFonts w:ascii="Arial Narrow" w:hAnsi="Arial Narrow"/>
          <w:b/>
          <w:bCs/>
          <w:noProof/>
          <w:sz w:val="32"/>
          <w:szCs w:val="32"/>
        </w:rPr>
        <w:lastRenderedPageBreak/>
        <w:pict>
          <v:shape id="_x0000_s1094" type="#_x0000_t75" style="position:absolute;left:0;text-align:left;margin-left:-1.15pt;margin-top:5.55pt;width:456.35pt;height:354.75pt;z-index:251736064;mso-position-horizontal-relative:text;mso-position-vertical-relative:text">
            <v:imagedata r:id="rId16" o:title=""/>
          </v:shape>
          <o:OLEObject Type="Embed" ProgID="Excel.Sheet.8" ShapeID="_x0000_s1094" DrawAspect="Content" ObjectID="_1521633388" r:id="rId17"/>
        </w:pic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 xml:space="preserve">1 </w:t>
      </w:r>
      <w:r w:rsidRPr="00934835">
        <w:rPr>
          <w:rFonts w:ascii="Arial Narrow" w:hAnsi="Arial Narrow"/>
          <w:bCs/>
          <w:sz w:val="14"/>
          <w:szCs w:val="14"/>
        </w:rPr>
        <w:t>Los Ingresos que se presentan son los ingresos presupuestarios totales sin incluir los ingresos por financiamientos. Los Ingresos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Autónomos. Los ingresos del Sector Paraestatal no consideran los importes por Transferencias, Asignaciones, Subsidios y Otras Ayudas recibidas del Poder Ejecutivo del Estado.</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2</w:t>
      </w:r>
      <w:r>
        <w:rPr>
          <w:rFonts w:ascii="Arial Narrow" w:hAnsi="Arial Narrow"/>
          <w:bCs/>
          <w:sz w:val="14"/>
          <w:szCs w:val="14"/>
        </w:rPr>
        <w:t xml:space="preserve"> </w:t>
      </w:r>
      <w:r w:rsidRPr="00934835">
        <w:rPr>
          <w:rFonts w:ascii="Arial Narrow" w:hAnsi="Arial Narrow"/>
          <w:bCs/>
          <w:sz w:val="14"/>
          <w:szCs w:val="14"/>
        </w:rPr>
        <w:t>Los egresos que se presentan son los egresos presupuestarios totales sin incluir los egresos por amortización. Los egresos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w:t>
      </w:r>
      <w:r w:rsidR="00B1643A">
        <w:rPr>
          <w:rFonts w:ascii="Arial Narrow" w:hAnsi="Arial Narrow"/>
          <w:bCs/>
          <w:sz w:val="14"/>
          <w:szCs w:val="14"/>
        </w:rPr>
        <w:t xml:space="preserve">omos, sin considerar </w:t>
      </w:r>
      <w:r w:rsidRPr="00934835">
        <w:rPr>
          <w:rFonts w:ascii="Arial Narrow" w:hAnsi="Arial Narrow"/>
          <w:bCs/>
          <w:sz w:val="14"/>
          <w:szCs w:val="14"/>
        </w:rPr>
        <w:t>las Transferencias, Asignaciones, Subsidios y Otras Ayudas realizadas al Sector Paraestatal del Estado.</w:t>
      </w:r>
      <w:r>
        <w:rPr>
          <w:rFonts w:ascii="Arial Narrow" w:hAnsi="Arial Narrow"/>
          <w:bCs/>
          <w:sz w:val="14"/>
          <w:szCs w:val="14"/>
        </w:rPr>
        <w:t xml:space="preserve"> </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3</w:t>
      </w:r>
      <w:r>
        <w:rPr>
          <w:rFonts w:ascii="Arial Narrow" w:hAnsi="Arial Narrow"/>
          <w:bCs/>
          <w:sz w:val="14"/>
          <w:szCs w:val="14"/>
        </w:rPr>
        <w:t xml:space="preserve"> </w:t>
      </w:r>
      <w:r w:rsidRPr="00934835">
        <w:rPr>
          <w:rFonts w:ascii="Arial Narrow" w:hAnsi="Arial Narrow"/>
          <w:bCs/>
          <w:sz w:val="14"/>
          <w:szCs w:val="14"/>
        </w:rPr>
        <w:t>Para Ingresos se reportan los ingresos recaudados; para egresos se reportan los egresos pagados.</w:t>
      </w:r>
    </w:p>
    <w:p w:rsidR="00B83815" w:rsidRPr="00934835" w:rsidRDefault="00934835" w:rsidP="00934835">
      <w:pPr>
        <w:pStyle w:val="Sangradetextonormal"/>
        <w:ind w:left="708" w:firstLine="0"/>
        <w:rPr>
          <w:rFonts w:ascii="Arial Narrow" w:hAnsi="Arial Narrow"/>
          <w:bCs/>
          <w:sz w:val="14"/>
          <w:szCs w:val="14"/>
        </w:rPr>
      </w:pPr>
      <w:r w:rsidRPr="00934835">
        <w:rPr>
          <w:rFonts w:ascii="Arial Narrow" w:hAnsi="Arial Narrow"/>
          <w:bCs/>
          <w:sz w:val="14"/>
          <w:szCs w:val="14"/>
        </w:rPr>
        <w:tab/>
      </w:r>
      <w:r w:rsidRPr="00934835">
        <w:rPr>
          <w:rFonts w:ascii="Arial Narrow" w:hAnsi="Arial Narrow"/>
          <w:bCs/>
          <w:sz w:val="14"/>
          <w:szCs w:val="14"/>
        </w:rPr>
        <w:tab/>
      </w:r>
      <w:r w:rsidRPr="00934835">
        <w:rPr>
          <w:rFonts w:ascii="Arial Narrow" w:hAnsi="Arial Narrow"/>
          <w:bCs/>
          <w:sz w:val="14"/>
          <w:szCs w:val="14"/>
        </w:rPr>
        <w:tab/>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A143DE" w:rsidRDefault="00B83815" w:rsidP="00B83815">
      <w:pPr>
        <w:pStyle w:val="Sangradetextonormal"/>
        <w:ind w:firstLine="708"/>
        <w:rPr>
          <w:rFonts w:ascii="Arial Narrow" w:hAnsi="Arial Narrow"/>
          <w:b/>
          <w:bCs/>
          <w:sz w:val="22"/>
          <w:szCs w:val="22"/>
        </w:rPr>
      </w:pPr>
      <w:r w:rsidRPr="00A143DE">
        <w:rPr>
          <w:rFonts w:ascii="Arial Narrow" w:hAnsi="Arial Narrow"/>
          <w:sz w:val="22"/>
          <w:szCs w:val="22"/>
        </w:rPr>
        <w:lastRenderedPageBreak/>
        <w:t xml:space="preserve">Con base en las cifras arrojadas por el cuadro anterior, a continuación se comentan los resultados generales de las finanzas públicas del Gobierno del Estado de Nayarit tomando como referencia los principales Indicadores de Postura Fiscal determinados en dicho cuadro:  </w:t>
      </w:r>
    </w:p>
    <w:p w:rsidR="00B83815" w:rsidRPr="00992D26" w:rsidRDefault="00B83815" w:rsidP="00B83815">
      <w:pPr>
        <w:pStyle w:val="Sangradetextonormal"/>
        <w:ind w:left="709" w:firstLine="0"/>
        <w:jc w:val="left"/>
        <w:rPr>
          <w:rFonts w:ascii="Arial Narrow" w:hAnsi="Arial Narrow"/>
          <w:b/>
          <w:bCs/>
          <w:sz w:val="32"/>
          <w:szCs w:val="32"/>
        </w:rPr>
      </w:pPr>
    </w:p>
    <w:p w:rsidR="00B83815" w:rsidRPr="00DF2957" w:rsidRDefault="00B83815" w:rsidP="00B83815">
      <w:pPr>
        <w:pStyle w:val="Sangradetextonormal"/>
        <w:numPr>
          <w:ilvl w:val="0"/>
          <w:numId w:val="12"/>
        </w:numPr>
        <w:jc w:val="left"/>
        <w:rPr>
          <w:rFonts w:ascii="Arial Narrow" w:hAnsi="Arial Narrow"/>
          <w:b/>
          <w:bCs/>
          <w:szCs w:val="28"/>
        </w:rPr>
      </w:pPr>
      <w:r w:rsidRPr="00DF2957">
        <w:rPr>
          <w:rFonts w:ascii="Arial Narrow" w:hAnsi="Arial Narrow"/>
          <w:b/>
          <w:bCs/>
          <w:szCs w:val="28"/>
        </w:rPr>
        <w:t>Balance Presupuestario</w:t>
      </w:r>
    </w:p>
    <w:p w:rsidR="00B83815" w:rsidRPr="00992D26" w:rsidRDefault="00B83815" w:rsidP="00B83815">
      <w:pPr>
        <w:pStyle w:val="Sangradetextonormal"/>
        <w:ind w:left="709" w:firstLine="0"/>
        <w:jc w:val="left"/>
        <w:rPr>
          <w:rFonts w:ascii="Arial Narrow" w:hAnsi="Arial Narrow"/>
          <w:b/>
          <w:bCs/>
          <w:sz w:val="32"/>
          <w:szCs w:val="32"/>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Este concepto se define como la diferencia entre los ingresos totales (corrientes y de capital)  incluidos en la Ley de Ingresos con excepción de los financiamientos y los gastos totales (corrientes y de capital) considerados en el Presupuesto de Egresos, con excepción de la amortización de la deuda.</w:t>
      </w:r>
    </w:p>
    <w:p w:rsidR="00B83815" w:rsidRPr="00DF2957" w:rsidRDefault="00B83815" w:rsidP="00B83815">
      <w:pPr>
        <w:pStyle w:val="Sangradetextonormal"/>
        <w:ind w:left="709" w:firstLine="0"/>
        <w:jc w:val="left"/>
        <w:rPr>
          <w:rFonts w:ascii="Arial Narrow" w:hAnsi="Arial Narrow"/>
          <w:b/>
          <w:bCs/>
          <w:sz w:val="22"/>
          <w:szCs w:val="22"/>
        </w:rPr>
      </w:pPr>
    </w:p>
    <w:p w:rsidR="00B83815" w:rsidRPr="00DF2957" w:rsidRDefault="00B83815" w:rsidP="00B83815">
      <w:pPr>
        <w:pStyle w:val="Sangradetextonormal"/>
        <w:rPr>
          <w:rFonts w:ascii="Arial Narrow" w:hAnsi="Arial Narrow"/>
          <w:sz w:val="22"/>
          <w:szCs w:val="22"/>
        </w:rPr>
      </w:pPr>
      <w:r w:rsidRPr="00DF2957">
        <w:rPr>
          <w:rFonts w:ascii="Arial Narrow" w:hAnsi="Arial Narrow"/>
          <w:sz w:val="22"/>
          <w:szCs w:val="22"/>
        </w:rPr>
        <w:t>En este caso, el Gobierno del Estado de Nayarit durante el Ej</w:t>
      </w:r>
      <w:r>
        <w:rPr>
          <w:rFonts w:ascii="Arial Narrow" w:hAnsi="Arial Narrow"/>
          <w:sz w:val="22"/>
          <w:szCs w:val="22"/>
        </w:rPr>
        <w:t>ercicio Fiscal 2015</w:t>
      </w:r>
      <w:r w:rsidRPr="00DF2957">
        <w:rPr>
          <w:rFonts w:ascii="Arial Narrow" w:hAnsi="Arial Narrow"/>
          <w:sz w:val="22"/>
          <w:szCs w:val="22"/>
        </w:rPr>
        <w:t xml:space="preserve"> presentó </w:t>
      </w:r>
      <w:r>
        <w:rPr>
          <w:rFonts w:ascii="Arial Narrow" w:hAnsi="Arial Narrow"/>
          <w:sz w:val="22"/>
          <w:szCs w:val="22"/>
        </w:rPr>
        <w:t>un superávit</w:t>
      </w:r>
      <w:r w:rsidRPr="00DF2957">
        <w:rPr>
          <w:rFonts w:ascii="Arial Narrow" w:hAnsi="Arial Narrow"/>
          <w:sz w:val="22"/>
          <w:szCs w:val="22"/>
        </w:rPr>
        <w:t xml:space="preserve"> por monto de $</w:t>
      </w:r>
      <w:r>
        <w:rPr>
          <w:rFonts w:ascii="Arial Narrow" w:hAnsi="Arial Narrow"/>
          <w:sz w:val="22"/>
          <w:szCs w:val="22"/>
        </w:rPr>
        <w:t xml:space="preserve"> 1</w:t>
      </w:r>
      <w:proofErr w:type="gramStart"/>
      <w:r>
        <w:rPr>
          <w:rFonts w:ascii="Arial Narrow" w:hAnsi="Arial Narrow"/>
          <w:sz w:val="22"/>
          <w:szCs w:val="22"/>
        </w:rPr>
        <w:t>,082,510,911.94</w:t>
      </w:r>
      <w:proofErr w:type="gramEnd"/>
      <w:r w:rsidRPr="00DF2957">
        <w:rPr>
          <w:rFonts w:ascii="Arial Narrow" w:hAnsi="Arial Narrow"/>
          <w:sz w:val="22"/>
          <w:szCs w:val="22"/>
        </w:rPr>
        <w:t xml:space="preserve"> (</w:t>
      </w:r>
      <w:r>
        <w:rPr>
          <w:rFonts w:ascii="Arial Narrow" w:hAnsi="Arial Narrow"/>
          <w:sz w:val="22"/>
          <w:szCs w:val="22"/>
        </w:rPr>
        <w:t>un mil ochenta y dos millones quinientos diez mil novecientos once pesos 94</w:t>
      </w:r>
      <w:r w:rsidRPr="00DF2957">
        <w:rPr>
          <w:rFonts w:ascii="Arial Narrow" w:hAnsi="Arial Narrow"/>
          <w:sz w:val="22"/>
          <w:szCs w:val="22"/>
        </w:rPr>
        <w:t>/100 m. n.) al comparar el gasto pagado con respecto a los ingresos recaudados en el período que se reporta, según se muestra en la tabla siguiente:</w:t>
      </w:r>
    </w:p>
    <w:p w:rsidR="00B83815" w:rsidRPr="00992D26" w:rsidRDefault="00B83815" w:rsidP="00B83815">
      <w:pPr>
        <w:pStyle w:val="Sangradetextonormal"/>
        <w:rPr>
          <w:rFonts w:ascii="Arial Narrow" w:hAnsi="Arial Narrow"/>
          <w:sz w:val="25"/>
        </w:rPr>
      </w:pPr>
    </w:p>
    <w:p w:rsidR="00B83815" w:rsidRPr="00992D26" w:rsidRDefault="00303B1A" w:rsidP="00B83815">
      <w:pPr>
        <w:pStyle w:val="Sangradetextonormal"/>
        <w:rPr>
          <w:rFonts w:ascii="Arial Narrow" w:hAnsi="Arial Narrow"/>
        </w:rPr>
      </w:pPr>
      <w:r>
        <w:rPr>
          <w:rFonts w:ascii="Arial Narrow" w:hAnsi="Arial Narrow"/>
          <w:noProof/>
        </w:rPr>
        <w:pict>
          <v:shape id="_x0000_s1081" type="#_x0000_t75" style="position:absolute;left:0;text-align:left;margin-left:21.35pt;margin-top:9.3pt;width:416.25pt;height:75.75pt;z-index:251719680;mso-position-horizontal-relative:text;mso-position-vertical-relative:text">
            <v:imagedata r:id="rId18" o:title=""/>
          </v:shape>
          <o:OLEObject Type="Embed" ProgID="Excel.Sheet.8" ShapeID="_x0000_s1081" DrawAspect="Content" ObjectID="_1521633389" r:id="rId19"/>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DF2957" w:rsidRDefault="00B83815" w:rsidP="00B83815">
      <w:pPr>
        <w:pStyle w:val="Sangradetextonormal"/>
        <w:rPr>
          <w:rFonts w:ascii="Arial Narrow" w:hAnsi="Arial Narrow"/>
          <w:sz w:val="22"/>
          <w:szCs w:val="22"/>
        </w:rPr>
      </w:pPr>
      <w:r w:rsidRPr="00DF2957">
        <w:rPr>
          <w:rFonts w:ascii="Arial Narrow" w:hAnsi="Arial Narrow"/>
          <w:sz w:val="22"/>
          <w:szCs w:val="22"/>
        </w:rPr>
        <w:t>Las cifras relativas a los recursos obtenidos y erogaciones efectuadas</w:t>
      </w:r>
      <w:r>
        <w:rPr>
          <w:rFonts w:ascii="Arial Narrow" w:hAnsi="Arial Narrow"/>
          <w:sz w:val="22"/>
          <w:szCs w:val="22"/>
        </w:rPr>
        <w:t>,</w:t>
      </w:r>
      <w:r w:rsidRPr="00DF2957">
        <w:rPr>
          <w:rFonts w:ascii="Arial Narrow" w:hAnsi="Arial Narrow"/>
          <w:sz w:val="22"/>
          <w:szCs w:val="22"/>
        </w:rPr>
        <w:t xml:space="preserve"> se analizan de manera posterior en los apartados denominados Ingresos Presupuestarios y Gastos Presupuestarios.</w:t>
      </w:r>
    </w:p>
    <w:p w:rsidR="00B83815"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DF2957" w:rsidRDefault="00B83815" w:rsidP="00B83815">
      <w:pPr>
        <w:pStyle w:val="Sangradetextonormal"/>
        <w:numPr>
          <w:ilvl w:val="0"/>
          <w:numId w:val="12"/>
        </w:numPr>
        <w:jc w:val="left"/>
        <w:rPr>
          <w:rFonts w:ascii="Arial Narrow" w:hAnsi="Arial Narrow"/>
          <w:b/>
          <w:bCs/>
          <w:szCs w:val="28"/>
        </w:rPr>
      </w:pPr>
      <w:r w:rsidRPr="00DF2957">
        <w:rPr>
          <w:rFonts w:ascii="Arial Narrow" w:hAnsi="Arial Narrow"/>
          <w:b/>
          <w:bCs/>
          <w:szCs w:val="28"/>
        </w:rPr>
        <w:lastRenderedPageBreak/>
        <w:t xml:space="preserve">Balance Primario </w:t>
      </w:r>
    </w:p>
    <w:p w:rsidR="00B83815" w:rsidRPr="00992D26" w:rsidRDefault="00B83815" w:rsidP="00B83815">
      <w:pPr>
        <w:pStyle w:val="Sangradetextonormal"/>
        <w:spacing w:line="240" w:lineRule="auto"/>
        <w:jc w:val="left"/>
        <w:rPr>
          <w:rFonts w:ascii="Arial Narrow" w:hAnsi="Arial Narrow"/>
          <w:sz w:val="25"/>
        </w:rPr>
      </w:pPr>
    </w:p>
    <w:p w:rsidR="00B83815" w:rsidRPr="00992D26" w:rsidRDefault="00B83815" w:rsidP="00B83815">
      <w:pPr>
        <w:pStyle w:val="Sangradetextonormal"/>
        <w:spacing w:line="240" w:lineRule="auto"/>
        <w:jc w:val="left"/>
        <w:rPr>
          <w:rFonts w:ascii="Arial Narrow" w:hAnsi="Arial Narrow"/>
          <w:sz w:val="25"/>
        </w:rPr>
      </w:pPr>
    </w:p>
    <w:p w:rsidR="00B83815" w:rsidRPr="00DF2957" w:rsidRDefault="00B83815" w:rsidP="00B83815">
      <w:pPr>
        <w:pStyle w:val="Sangradetextonormal"/>
        <w:rPr>
          <w:rFonts w:ascii="Arial Narrow" w:hAnsi="Arial Narrow"/>
          <w:sz w:val="22"/>
          <w:szCs w:val="22"/>
        </w:rPr>
      </w:pPr>
      <w:r w:rsidRPr="00DF2957">
        <w:rPr>
          <w:rFonts w:ascii="Arial Narrow" w:hAnsi="Arial Narrow"/>
          <w:sz w:val="22"/>
          <w:szCs w:val="22"/>
        </w:rPr>
        <w:t>Este concepto se define como la diferencia entre los ingresos totales incluidos en la Ley de Ingresos con excepción de los financiamientos y los gastos totales de los entes públicos considerados en el Presupuesto de Egresos, excluyendo de estos últimos, las erogaciones asociadas al costo financiero y a la amortización de la deuda.</w:t>
      </w:r>
    </w:p>
    <w:p w:rsidR="00B83815" w:rsidRPr="00DF2957" w:rsidRDefault="00B83815" w:rsidP="00B83815">
      <w:pPr>
        <w:pStyle w:val="Sangradetextonormal"/>
        <w:spacing w:line="240" w:lineRule="exact"/>
        <w:rPr>
          <w:rFonts w:ascii="Arial Narrow" w:hAnsi="Arial Narrow"/>
          <w:sz w:val="22"/>
          <w:szCs w:val="22"/>
        </w:rPr>
      </w:pPr>
    </w:p>
    <w:p w:rsidR="00B83815" w:rsidRPr="00DF2957" w:rsidRDefault="00B83815" w:rsidP="00B83815">
      <w:pPr>
        <w:pStyle w:val="Sangradetextonormal"/>
        <w:spacing w:line="240" w:lineRule="exact"/>
        <w:rPr>
          <w:rFonts w:ascii="Arial Narrow" w:hAnsi="Arial Narrow"/>
          <w:sz w:val="22"/>
          <w:szCs w:val="22"/>
        </w:rPr>
      </w:pPr>
    </w:p>
    <w:p w:rsidR="00B83815" w:rsidRPr="00DF2957" w:rsidRDefault="00B83815" w:rsidP="00B83815">
      <w:pPr>
        <w:pStyle w:val="Sangradetextonormal"/>
        <w:rPr>
          <w:rFonts w:ascii="Arial Narrow" w:hAnsi="Arial Narrow"/>
          <w:sz w:val="22"/>
          <w:szCs w:val="22"/>
        </w:rPr>
      </w:pPr>
      <w:r w:rsidRPr="00DF2957">
        <w:rPr>
          <w:rFonts w:ascii="Arial Narrow" w:hAnsi="Arial Narrow"/>
          <w:sz w:val="22"/>
          <w:szCs w:val="22"/>
        </w:rPr>
        <w:t>El balance primario muestra que el Gobierno del Estado de Nayarit durante e</w:t>
      </w:r>
      <w:r>
        <w:rPr>
          <w:rFonts w:ascii="Arial Narrow" w:hAnsi="Arial Narrow"/>
          <w:sz w:val="22"/>
          <w:szCs w:val="22"/>
        </w:rPr>
        <w:t>l Ejercicio Fiscal 2015</w:t>
      </w:r>
      <w:r w:rsidRPr="00DF2957">
        <w:rPr>
          <w:rFonts w:ascii="Arial Narrow" w:hAnsi="Arial Narrow"/>
          <w:sz w:val="22"/>
          <w:szCs w:val="22"/>
        </w:rPr>
        <w:t xml:space="preserve"> incurrió en </w:t>
      </w:r>
      <w:r>
        <w:rPr>
          <w:rFonts w:ascii="Arial Narrow" w:hAnsi="Arial Narrow"/>
          <w:sz w:val="22"/>
          <w:szCs w:val="22"/>
        </w:rPr>
        <w:t>un superávit</w:t>
      </w:r>
      <w:r w:rsidRPr="00DF2957">
        <w:rPr>
          <w:rFonts w:ascii="Arial Narrow" w:hAnsi="Arial Narrow"/>
          <w:sz w:val="22"/>
          <w:szCs w:val="22"/>
        </w:rPr>
        <w:t xml:space="preserve"> por la cantidad de $ </w:t>
      </w:r>
      <w:r>
        <w:rPr>
          <w:rFonts w:ascii="Arial Narrow" w:hAnsi="Arial Narrow"/>
          <w:sz w:val="22"/>
          <w:szCs w:val="22"/>
        </w:rPr>
        <w:t>1,359,773,864.06</w:t>
      </w:r>
      <w:r w:rsidRPr="00DF2957">
        <w:rPr>
          <w:rFonts w:ascii="Arial Narrow" w:hAnsi="Arial Narrow"/>
          <w:sz w:val="22"/>
          <w:szCs w:val="22"/>
        </w:rPr>
        <w:t xml:space="preserve"> (</w:t>
      </w:r>
      <w:r>
        <w:rPr>
          <w:rFonts w:ascii="Arial Narrow" w:hAnsi="Arial Narrow"/>
          <w:sz w:val="22"/>
          <w:szCs w:val="22"/>
        </w:rPr>
        <w:t>un mil trescientos cincuenta y nueve millones setecientos setenta y tres mil ochocientos sesenta y cuatro pesos 06</w:t>
      </w:r>
      <w:r w:rsidRPr="00DF2957">
        <w:rPr>
          <w:rFonts w:ascii="Arial Narrow" w:hAnsi="Arial Narrow"/>
          <w:sz w:val="22"/>
          <w:szCs w:val="22"/>
        </w:rPr>
        <w:t>/100 m. n.).</w:t>
      </w:r>
    </w:p>
    <w:p w:rsidR="00B83815" w:rsidRPr="00DF2957" w:rsidRDefault="00B83815" w:rsidP="00B83815">
      <w:pPr>
        <w:pStyle w:val="Sangradetextonormal"/>
        <w:spacing w:line="240" w:lineRule="exact"/>
        <w:rPr>
          <w:rFonts w:ascii="Arial Narrow" w:hAnsi="Arial Narrow"/>
          <w:sz w:val="22"/>
          <w:szCs w:val="22"/>
        </w:rPr>
      </w:pPr>
    </w:p>
    <w:p w:rsidR="00B83815" w:rsidRPr="00DF2957" w:rsidRDefault="00B83815" w:rsidP="00B83815">
      <w:pPr>
        <w:pStyle w:val="Sangradetextonormal"/>
        <w:spacing w:line="240" w:lineRule="exact"/>
        <w:rPr>
          <w:rFonts w:ascii="Arial Narrow" w:hAnsi="Arial Narrow"/>
          <w:sz w:val="22"/>
          <w:szCs w:val="22"/>
        </w:rPr>
      </w:pPr>
    </w:p>
    <w:p w:rsidR="00B83815" w:rsidRPr="00DF2957" w:rsidRDefault="00B83815" w:rsidP="00B83815">
      <w:pPr>
        <w:pStyle w:val="Sangradetextonormal"/>
        <w:rPr>
          <w:rFonts w:ascii="Arial Narrow" w:hAnsi="Arial Narrow"/>
          <w:sz w:val="22"/>
          <w:szCs w:val="22"/>
        </w:rPr>
      </w:pPr>
      <w:r w:rsidRPr="00DF2957">
        <w:rPr>
          <w:rFonts w:ascii="Arial Narrow" w:hAnsi="Arial Narrow"/>
          <w:sz w:val="22"/>
          <w:szCs w:val="22"/>
        </w:rPr>
        <w:t>Cabe señalar que este indicador mide el excedente o faltante de recursos financieros en términos monetarios, y refleja el esfuerzo o relajamiento fiscal en un período determinado, al excluir el servicio de obligaciones adquiridas en el pasado, por lo que en el Ejercicio Fi</w:t>
      </w:r>
      <w:r>
        <w:rPr>
          <w:rFonts w:ascii="Arial Narrow" w:hAnsi="Arial Narrow"/>
          <w:sz w:val="22"/>
          <w:szCs w:val="22"/>
        </w:rPr>
        <w:t>scal 2015</w:t>
      </w:r>
      <w:r w:rsidRPr="00DF2957">
        <w:rPr>
          <w:rFonts w:ascii="Arial Narrow" w:hAnsi="Arial Narrow"/>
          <w:sz w:val="22"/>
          <w:szCs w:val="22"/>
        </w:rPr>
        <w:t xml:space="preserve"> se aprecia esta situación:</w:t>
      </w:r>
    </w:p>
    <w:p w:rsidR="00B83815" w:rsidRPr="00992D26" w:rsidRDefault="00B83815" w:rsidP="00B83815">
      <w:pPr>
        <w:pStyle w:val="Sangradetextonormal"/>
        <w:rPr>
          <w:rFonts w:ascii="Arial Narrow" w:hAnsi="Arial Narrow"/>
          <w:sz w:val="25"/>
        </w:rPr>
      </w:pPr>
    </w:p>
    <w:p w:rsidR="00B83815" w:rsidRPr="00992D26" w:rsidRDefault="00303B1A" w:rsidP="00B83815">
      <w:pPr>
        <w:pStyle w:val="Sangradetextonormal"/>
        <w:rPr>
          <w:rFonts w:ascii="Arial Narrow" w:hAnsi="Arial Narrow"/>
          <w:sz w:val="25"/>
        </w:rPr>
      </w:pPr>
      <w:r>
        <w:rPr>
          <w:rFonts w:ascii="Arial Narrow" w:hAnsi="Arial Narrow"/>
          <w:noProof/>
          <w:sz w:val="25"/>
        </w:rPr>
        <w:pict>
          <v:shape id="_x0000_s1090" type="#_x0000_t75" style="position:absolute;left:0;text-align:left;margin-left:53.6pt;margin-top:19.5pt;width:351pt;height:63pt;z-index:251731968;mso-position-horizontal-relative:text;mso-position-vertical-relative:text">
            <v:imagedata r:id="rId20" o:title=""/>
          </v:shape>
          <o:OLEObject Type="Embed" ProgID="Excel.Sheet.8" ShapeID="_x0000_s1090" DrawAspect="Content" ObjectID="_1521633390" r:id="rId21"/>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Pr="00DF2957" w:rsidRDefault="00A52383" w:rsidP="00B83815">
      <w:pPr>
        <w:pStyle w:val="Sangradetextonormal"/>
        <w:rPr>
          <w:rFonts w:ascii="Arial Narrow" w:hAnsi="Arial Narrow"/>
          <w:sz w:val="22"/>
          <w:szCs w:val="22"/>
        </w:rPr>
      </w:pPr>
      <w:r>
        <w:rPr>
          <w:rFonts w:ascii="Arial Narrow" w:hAnsi="Arial Narrow"/>
          <w:sz w:val="22"/>
          <w:szCs w:val="22"/>
        </w:rPr>
        <w:t>Cabe citar que en el año que se reporta únicamente se realizó pago de intereses correspondientes a los diferentes créditos suscritos por el Gobierno del Estado de Nayarit, mismos</w:t>
      </w:r>
      <w:r w:rsidR="00B83815" w:rsidRPr="00DF2957">
        <w:rPr>
          <w:rFonts w:ascii="Arial Narrow" w:hAnsi="Arial Narrow"/>
          <w:sz w:val="22"/>
          <w:szCs w:val="22"/>
        </w:rPr>
        <w:t xml:space="preserve"> que </w:t>
      </w:r>
      <w:r>
        <w:rPr>
          <w:rFonts w:ascii="Arial Narrow" w:hAnsi="Arial Narrow"/>
          <w:sz w:val="22"/>
          <w:szCs w:val="22"/>
        </w:rPr>
        <w:t xml:space="preserve">en el Ejercicio fiscal 2015 </w:t>
      </w:r>
      <w:r w:rsidR="00B83815" w:rsidRPr="00DF2957">
        <w:rPr>
          <w:rFonts w:ascii="Arial Narrow" w:hAnsi="Arial Narrow"/>
          <w:sz w:val="22"/>
          <w:szCs w:val="22"/>
        </w:rPr>
        <w:t>conforman el costo financiero de la deuda pública</w:t>
      </w:r>
      <w:r>
        <w:rPr>
          <w:rFonts w:ascii="Arial Narrow" w:hAnsi="Arial Narrow"/>
          <w:sz w:val="22"/>
          <w:szCs w:val="22"/>
        </w:rPr>
        <w:t>, los cuales</w:t>
      </w:r>
      <w:r w:rsidR="00B83815" w:rsidRPr="00DF2957">
        <w:rPr>
          <w:rFonts w:ascii="Arial Narrow" w:hAnsi="Arial Narrow"/>
          <w:sz w:val="22"/>
          <w:szCs w:val="22"/>
        </w:rPr>
        <w:t xml:space="preserve"> se desglosan con mayor amplitud en el apartado de Deuda Pública.</w:t>
      </w:r>
    </w:p>
    <w:p w:rsidR="00B83815" w:rsidRDefault="00B83815" w:rsidP="00B83815">
      <w:pPr>
        <w:pStyle w:val="Sangradetextonormal"/>
        <w:rPr>
          <w:rFonts w:ascii="Arial Narrow" w:hAnsi="Arial Narrow"/>
          <w:sz w:val="25"/>
          <w:szCs w:val="32"/>
        </w:rPr>
      </w:pPr>
    </w:p>
    <w:p w:rsidR="00B83815" w:rsidRPr="00DF2957" w:rsidRDefault="00B83815" w:rsidP="00B83815">
      <w:pPr>
        <w:pStyle w:val="Sangradetextonormal"/>
        <w:numPr>
          <w:ilvl w:val="0"/>
          <w:numId w:val="12"/>
        </w:numPr>
        <w:jc w:val="left"/>
        <w:rPr>
          <w:rFonts w:ascii="Arial Narrow" w:hAnsi="Arial Narrow"/>
          <w:b/>
          <w:bCs/>
          <w:szCs w:val="28"/>
        </w:rPr>
      </w:pPr>
      <w:r w:rsidRPr="00DF2957">
        <w:rPr>
          <w:rFonts w:ascii="Arial Narrow" w:hAnsi="Arial Narrow"/>
          <w:b/>
          <w:bCs/>
          <w:szCs w:val="28"/>
        </w:rPr>
        <w:lastRenderedPageBreak/>
        <w:t>Endeudamiento o Desendeudamiento</w:t>
      </w:r>
    </w:p>
    <w:p w:rsidR="00B83815" w:rsidRPr="00992D26" w:rsidRDefault="00B83815" w:rsidP="00B83815">
      <w:pPr>
        <w:pStyle w:val="Sangradetextonormal"/>
        <w:spacing w:line="240" w:lineRule="exact"/>
        <w:jc w:val="left"/>
        <w:rPr>
          <w:rFonts w:ascii="Arial Narrow" w:hAnsi="Arial Narrow"/>
          <w:sz w:val="25"/>
        </w:rPr>
      </w:pPr>
    </w:p>
    <w:p w:rsidR="00B83815" w:rsidRPr="00992D26" w:rsidRDefault="00B83815" w:rsidP="00B83815">
      <w:pPr>
        <w:pStyle w:val="Sangradetextonormal"/>
        <w:spacing w:line="240" w:lineRule="exact"/>
        <w:jc w:val="left"/>
        <w:rPr>
          <w:rFonts w:ascii="Arial Narrow" w:hAnsi="Arial Narrow"/>
          <w:sz w:val="25"/>
        </w:rPr>
      </w:pPr>
    </w:p>
    <w:p w:rsidR="00B83815" w:rsidRPr="00DF2957" w:rsidRDefault="00B83815" w:rsidP="00B83815">
      <w:pPr>
        <w:pStyle w:val="Sangradetextonormal"/>
        <w:rPr>
          <w:rFonts w:ascii="Arial Narrow" w:hAnsi="Arial Narrow"/>
          <w:sz w:val="22"/>
          <w:szCs w:val="22"/>
        </w:rPr>
      </w:pPr>
      <w:r w:rsidRPr="00DF2957">
        <w:rPr>
          <w:rFonts w:ascii="Arial Narrow" w:hAnsi="Arial Narrow"/>
          <w:sz w:val="22"/>
          <w:szCs w:val="22"/>
        </w:rPr>
        <w:t>Este concepto se define como la diferencia entre el uso del financiamiento y las amortizaciones efectuadas de las obligaciones constitutivas de deuda pública.</w:t>
      </w:r>
    </w:p>
    <w:p w:rsidR="00B83815" w:rsidRPr="00DF2957" w:rsidRDefault="00B83815" w:rsidP="00B83815">
      <w:pPr>
        <w:pStyle w:val="Sangradetextonormal"/>
        <w:spacing w:line="240" w:lineRule="exact"/>
        <w:jc w:val="left"/>
        <w:rPr>
          <w:rFonts w:ascii="Arial Narrow" w:hAnsi="Arial Narrow"/>
          <w:sz w:val="22"/>
          <w:szCs w:val="22"/>
        </w:rPr>
      </w:pPr>
    </w:p>
    <w:p w:rsidR="00B83815" w:rsidRPr="00DF2957" w:rsidRDefault="00B83815" w:rsidP="00B83815">
      <w:pPr>
        <w:pStyle w:val="Sangradetextonormal"/>
        <w:rPr>
          <w:rFonts w:ascii="Arial Narrow" w:hAnsi="Arial Narrow"/>
          <w:sz w:val="22"/>
          <w:szCs w:val="22"/>
        </w:rPr>
      </w:pPr>
      <w:r w:rsidRPr="00DF2957">
        <w:rPr>
          <w:rFonts w:ascii="Arial Narrow" w:hAnsi="Arial Narrow"/>
          <w:sz w:val="22"/>
          <w:szCs w:val="22"/>
        </w:rPr>
        <w:t>Al respecto, se informa</w:t>
      </w:r>
      <w:r>
        <w:rPr>
          <w:rFonts w:ascii="Arial Narrow" w:hAnsi="Arial Narrow"/>
          <w:sz w:val="22"/>
          <w:szCs w:val="22"/>
        </w:rPr>
        <w:t xml:space="preserve"> que en el Ejercicio Fiscal 2015</w:t>
      </w:r>
      <w:r w:rsidRPr="00DF2957">
        <w:rPr>
          <w:rFonts w:ascii="Arial Narrow" w:hAnsi="Arial Narrow"/>
          <w:sz w:val="22"/>
          <w:szCs w:val="22"/>
        </w:rPr>
        <w:t xml:space="preserve"> el Gobierno del Estado de Nayarit reporta un desendeudamiento net</w:t>
      </w:r>
      <w:r>
        <w:rPr>
          <w:rFonts w:ascii="Arial Narrow" w:hAnsi="Arial Narrow"/>
          <w:sz w:val="22"/>
          <w:szCs w:val="22"/>
        </w:rPr>
        <w:t>o por importe de $ 79,359,273.49</w:t>
      </w:r>
      <w:r w:rsidRPr="00DF2957">
        <w:rPr>
          <w:rFonts w:ascii="Arial Narrow" w:hAnsi="Arial Narrow"/>
          <w:sz w:val="22"/>
          <w:szCs w:val="22"/>
        </w:rPr>
        <w:t xml:space="preserve"> (setenta </w:t>
      </w:r>
      <w:r>
        <w:rPr>
          <w:rFonts w:ascii="Arial Narrow" w:hAnsi="Arial Narrow"/>
          <w:sz w:val="22"/>
          <w:szCs w:val="22"/>
        </w:rPr>
        <w:t>y nueve millones trescientos cincuenta y nueve mil doscientos setenta y tres pesos 4</w:t>
      </w:r>
      <w:r w:rsidRPr="00DF2957">
        <w:rPr>
          <w:rFonts w:ascii="Arial Narrow" w:hAnsi="Arial Narrow"/>
          <w:sz w:val="22"/>
          <w:szCs w:val="22"/>
        </w:rPr>
        <w:t>9/100 m. n.), mismo que se desglosa posteriormente en la sección en el que se analiza este indicador dentro del apartado denominado Deuda Pública.</w:t>
      </w:r>
    </w:p>
    <w:p w:rsidR="00B83815" w:rsidRDefault="00B83815" w:rsidP="00B83815">
      <w:pPr>
        <w:pStyle w:val="Sangradetextonormal"/>
        <w:spacing w:line="240" w:lineRule="exact"/>
        <w:jc w:val="left"/>
        <w:rPr>
          <w:rFonts w:ascii="Arial Narrow" w:hAnsi="Arial Narrow"/>
          <w:sz w:val="25"/>
        </w:rPr>
      </w:pPr>
    </w:p>
    <w:p w:rsidR="00B83815" w:rsidRPr="00992D26" w:rsidRDefault="00B83815" w:rsidP="00B83815">
      <w:pPr>
        <w:pStyle w:val="Sangradetextonormal"/>
        <w:spacing w:line="240" w:lineRule="exact"/>
        <w:jc w:val="left"/>
        <w:rPr>
          <w:rFonts w:ascii="Arial Narrow" w:hAnsi="Arial Narrow"/>
          <w:sz w:val="25"/>
        </w:rPr>
      </w:pPr>
    </w:p>
    <w:p w:rsidR="00B83815" w:rsidRPr="00DF2957" w:rsidRDefault="00B83815" w:rsidP="00B83815">
      <w:pPr>
        <w:pStyle w:val="Sangradetextonormal"/>
        <w:ind w:left="1068" w:firstLine="0"/>
        <w:jc w:val="center"/>
        <w:rPr>
          <w:rFonts w:ascii="Arial Narrow" w:hAnsi="Arial Narrow"/>
          <w:b/>
          <w:bCs/>
          <w:szCs w:val="28"/>
        </w:rPr>
      </w:pPr>
      <w:r w:rsidRPr="00DF2957">
        <w:rPr>
          <w:rFonts w:ascii="Arial Narrow" w:hAnsi="Arial Narrow"/>
          <w:b/>
          <w:bCs/>
          <w:szCs w:val="28"/>
        </w:rPr>
        <w:t>Resumen General</w:t>
      </w:r>
    </w:p>
    <w:p w:rsidR="00B83815" w:rsidRPr="00992D26" w:rsidRDefault="00B83815" w:rsidP="00B83815">
      <w:pPr>
        <w:pStyle w:val="Sangradetextonormal"/>
        <w:spacing w:line="240" w:lineRule="exact"/>
        <w:jc w:val="left"/>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DF2957">
        <w:rPr>
          <w:rFonts w:ascii="Arial Narrow" w:hAnsi="Arial Narrow"/>
          <w:sz w:val="22"/>
          <w:szCs w:val="22"/>
        </w:rPr>
        <w:t>En el siguiente cuadro se presenta el panorama general de las finanzas públicas estatales, partiendo de la comparación entre los ingresos y gastos presupuestarios totales, excluyendo posteriormente los importes relativos al endeudamiento neto, así como el pago de intereses y comisiones de la deuda, para obtener finalmente el Balance Primario del Sector Público Presupuestario de Nayarit</w:t>
      </w:r>
      <w:r>
        <w:rPr>
          <w:rFonts w:ascii="Arial Narrow" w:hAnsi="Arial Narrow"/>
          <w:sz w:val="22"/>
          <w:szCs w:val="22"/>
        </w:rPr>
        <w:t xml:space="preserve"> del Ejercicio Fiscal 2015</w:t>
      </w:r>
      <w:r w:rsidRPr="00DF2957">
        <w:rPr>
          <w:rFonts w:ascii="Arial Narrow" w:hAnsi="Arial Narrow"/>
          <w:sz w:val="22"/>
          <w:szCs w:val="22"/>
        </w:rPr>
        <w:t>.</w:t>
      </w:r>
    </w:p>
    <w:p w:rsidR="00B83815" w:rsidRPr="00992D26" w:rsidRDefault="00B83815" w:rsidP="00B83815">
      <w:pPr>
        <w:pStyle w:val="Sangradetextonormal"/>
        <w:rPr>
          <w:rFonts w:ascii="Arial Narrow" w:hAnsi="Arial Narrow"/>
          <w:sz w:val="25"/>
        </w:rPr>
      </w:pPr>
    </w:p>
    <w:p w:rsidR="00B83815" w:rsidRPr="00992D26" w:rsidRDefault="00303B1A" w:rsidP="00B83815">
      <w:pPr>
        <w:pStyle w:val="Sangradetextonormal"/>
        <w:rPr>
          <w:rFonts w:ascii="Arial Narrow" w:hAnsi="Arial Narrow"/>
          <w:sz w:val="25"/>
        </w:rPr>
      </w:pPr>
      <w:r>
        <w:rPr>
          <w:rFonts w:ascii="Arial Narrow" w:hAnsi="Arial Narrow"/>
          <w:noProof/>
          <w:sz w:val="25"/>
        </w:rPr>
        <w:pict>
          <v:shape id="_x0000_s1092" type="#_x0000_t75" style="position:absolute;left:0;text-align:left;margin-left:2.6pt;margin-top:11.25pt;width:449.25pt;height:162.75pt;z-index:251734016;mso-position-horizontal-relative:text;mso-position-vertical-relative:text">
            <v:imagedata r:id="rId22" o:title=""/>
          </v:shape>
          <o:OLEObject Type="Embed" ProgID="Excel.Sheet.8" ShapeID="_x0000_s1092" DrawAspect="Content" ObjectID="_1521633391" r:id="rId23"/>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Default="00B83815" w:rsidP="00B83815">
      <w:pPr>
        <w:pStyle w:val="Sangradetextonormal"/>
        <w:ind w:firstLine="0"/>
        <w:jc w:val="left"/>
        <w:rPr>
          <w:rFonts w:ascii="Arial Narrow" w:hAnsi="Arial Narrow"/>
          <w:b/>
          <w:bCs/>
          <w:sz w:val="32"/>
          <w:szCs w:val="32"/>
        </w:rPr>
      </w:pPr>
      <w:bookmarkStart w:id="4" w:name="_GoBack"/>
      <w:bookmarkEnd w:id="4"/>
    </w:p>
    <w:sectPr w:rsidR="00B83815" w:rsidSect="00303B1A">
      <w:headerReference w:type="even" r:id="rId24"/>
      <w:headerReference w:type="default" r:id="rId25"/>
      <w:footerReference w:type="even" r:id="rId26"/>
      <w:footerReference w:type="default" r:id="rId27"/>
      <w:headerReference w:type="first" r:id="rId28"/>
      <w:pgSz w:w="12240" w:h="15840" w:code="1"/>
      <w:pgMar w:top="3969" w:right="1259" w:bottom="851" w:left="1985" w:header="720" w:footer="748" w:gutter="0"/>
      <w:pgNumType w:start="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89" w:rsidRDefault="00795A89">
      <w:r>
        <w:separator/>
      </w:r>
    </w:p>
  </w:endnote>
  <w:endnote w:type="continuationSeparator" w:id="0">
    <w:p w:rsidR="00795A89" w:rsidRDefault="0079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A" w:rsidRDefault="00303B1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B1A" w:rsidRDefault="00303B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A" w:rsidRDefault="00303B1A">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5F78D9">
      <w:rPr>
        <w:rStyle w:val="Nmerodepgina"/>
        <w:noProof/>
      </w:rPr>
      <w:t>33</w:t>
    </w:r>
    <w:r>
      <w:rPr>
        <w:rStyle w:val="Nmerodepgina"/>
      </w:rPr>
      <w:fldChar w:fldCharType="end"/>
    </w:r>
  </w:p>
  <w:p w:rsidR="00303B1A" w:rsidRDefault="00303B1A">
    <w:pPr>
      <w:pStyle w:val="Piedepgina"/>
      <w:framePr w:wrap="around" w:vAnchor="text" w:hAnchor="margin" w:xAlign="center" w:y="1"/>
      <w:rPr>
        <w:rStyle w:val="Nmerodepgina"/>
      </w:rPr>
    </w:pPr>
  </w:p>
  <w:p w:rsidR="00303B1A" w:rsidRDefault="00303B1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89" w:rsidRDefault="00795A89">
      <w:r>
        <w:separator/>
      </w:r>
    </w:p>
  </w:footnote>
  <w:footnote w:type="continuationSeparator" w:id="0">
    <w:p w:rsidR="00795A89" w:rsidRDefault="00795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A" w:rsidRDefault="00303B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303B1A" w:rsidRDefault="00303B1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A" w:rsidRDefault="00303B1A">
    <w:pPr>
      <w:pStyle w:val="Encabezado"/>
      <w:framePr w:wrap="around" w:vAnchor="text" w:hAnchor="margin" w:xAlign="right" w:y="1"/>
      <w:rPr>
        <w:rStyle w:val="Nmerodepgina"/>
      </w:rPr>
    </w:pPr>
  </w:p>
  <w:p w:rsidR="00303B1A" w:rsidRDefault="00303B1A">
    <w:pPr>
      <w:pStyle w:val="Encabezado"/>
      <w:framePr w:wrap="around" w:vAnchor="text" w:hAnchor="margin" w:xAlign="center" w:y="1"/>
      <w:ind w:right="360"/>
      <w:rPr>
        <w:rStyle w:val="Nmerodepgina"/>
      </w:rPr>
    </w:pPr>
  </w:p>
  <w:p w:rsidR="00303B1A" w:rsidRDefault="00303B1A">
    <w:pPr>
      <w:pStyle w:val="Encabezado"/>
    </w:pPr>
    <w:r>
      <w:rPr>
        <w:rFonts w:ascii="Gill Sans" w:hAnsi="Gill Sans"/>
        <w:noProof/>
        <w:lang w:val="es-MX" w:eastAsia="es-MX"/>
      </w:rPr>
      <w:drawing>
        <wp:anchor distT="0" distB="0" distL="114300" distR="114300" simplePos="0" relativeHeight="251669504" behindDoc="0" locked="0" layoutInCell="1" allowOverlap="1" wp14:anchorId="06490029" wp14:editId="3997DCA4">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B1A" w:rsidRDefault="00303B1A">
    <w:pPr>
      <w:pStyle w:val="Encabezado"/>
    </w:pPr>
  </w:p>
  <w:p w:rsidR="00303B1A" w:rsidRDefault="00303B1A">
    <w:pPr>
      <w:pStyle w:val="Encabezado"/>
    </w:pPr>
  </w:p>
  <w:p w:rsidR="00303B1A" w:rsidRDefault="00303B1A">
    <w:pPr>
      <w:pStyle w:val="Encabezado"/>
    </w:pPr>
  </w:p>
  <w:p w:rsidR="00303B1A" w:rsidRDefault="00303B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A" w:rsidRPr="00B260DD" w:rsidRDefault="00303B1A">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14:anchorId="11F85ED1" wp14:editId="005A263C">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B1A" w:rsidRDefault="00303B1A">
    <w:pPr>
      <w:pStyle w:val="Encabezado"/>
      <w:rPr>
        <w:rFonts w:ascii="Gill Sans" w:hAnsi="Gill Sans"/>
        <w:lang w:val="es-MX"/>
      </w:rPr>
    </w:pPr>
  </w:p>
  <w:p w:rsidR="00303B1A" w:rsidRPr="00F077FB" w:rsidRDefault="00303B1A">
    <w:pPr>
      <w:pStyle w:val="Encabezado"/>
      <w:rPr>
        <w:rFonts w:ascii="Gill Sans" w:hAnsi="Gill Sans"/>
        <w:i/>
        <w:lang w:val="es-MX"/>
      </w:rPr>
    </w:pPr>
  </w:p>
  <w:p w:rsidR="00303B1A" w:rsidRDefault="00303B1A">
    <w:pPr>
      <w:pStyle w:val="Encabezado"/>
      <w:rPr>
        <w:rFonts w:ascii="Gill Sans" w:hAnsi="Gill Sans"/>
        <w:lang w:val="es-MX"/>
      </w:rPr>
    </w:pPr>
  </w:p>
  <w:p w:rsidR="00303B1A" w:rsidRDefault="00303B1A">
    <w:pPr>
      <w:pStyle w:val="Encabezado"/>
      <w:rPr>
        <w:rFonts w:ascii="Gill Sans" w:hAnsi="Gill Sans"/>
        <w:lang w:val="es-MX"/>
      </w:rPr>
    </w:pPr>
  </w:p>
  <w:p w:rsidR="00303B1A" w:rsidRDefault="00303B1A">
    <w:pPr>
      <w:pStyle w:val="Encabezado"/>
      <w:rPr>
        <w:rFonts w:ascii="Gill Sans" w:hAnsi="Gill Sans"/>
        <w:lang w:val="es-MX"/>
      </w:rPr>
    </w:pPr>
  </w:p>
  <w:p w:rsidR="00303B1A" w:rsidRDefault="00303B1A">
    <w:pPr>
      <w:pStyle w:val="Encabezado"/>
      <w:rPr>
        <w:rFonts w:ascii="Gill Sans" w:hAnsi="Gill Sans"/>
        <w:lang w:val="es-MX"/>
      </w:rPr>
    </w:pPr>
  </w:p>
  <w:p w:rsidR="00303B1A" w:rsidRDefault="00303B1A">
    <w:pPr>
      <w:pStyle w:val="Encabezado"/>
      <w:rPr>
        <w:rFonts w:ascii="Gill Sans" w:hAnsi="Gill Sans"/>
        <w:lang w:val="es-MX"/>
      </w:rPr>
    </w:pPr>
  </w:p>
  <w:p w:rsidR="00303B1A" w:rsidRDefault="00303B1A">
    <w:pPr>
      <w:pStyle w:val="Encabezado"/>
      <w:jc w:val="right"/>
      <w:rPr>
        <w:rFonts w:ascii="Univers Light Condensed" w:hAnsi="Univers Light Condensed"/>
        <w:sz w:val="24"/>
        <w:lang w:val="es-MX"/>
      </w:rPr>
    </w:pPr>
  </w:p>
  <w:p w:rsidR="00303B1A" w:rsidRDefault="00303B1A">
    <w:pPr>
      <w:pStyle w:val="Encabezado"/>
      <w:jc w:val="right"/>
      <w:rPr>
        <w:rFonts w:ascii="Univers Light Condensed" w:hAnsi="Univers Light Condensed"/>
        <w:sz w:val="24"/>
        <w:lang w:val="es-MX"/>
      </w:rPr>
    </w:pPr>
  </w:p>
  <w:p w:rsidR="00303B1A" w:rsidRDefault="00303B1A">
    <w:pPr>
      <w:pStyle w:val="Encabezado"/>
      <w:jc w:val="right"/>
      <w:rPr>
        <w:rFonts w:ascii="Univers Light Condensed" w:hAnsi="Univers Light Condensed"/>
        <w:sz w:val="24"/>
        <w:lang w:val="es-MX"/>
      </w:rPr>
    </w:pPr>
  </w:p>
  <w:p w:rsidR="00303B1A" w:rsidRDefault="00303B1A">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8">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5">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7">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4"/>
  </w:num>
  <w:num w:numId="4">
    <w:abstractNumId w:val="1"/>
  </w:num>
  <w:num w:numId="5">
    <w:abstractNumId w:val="19"/>
  </w:num>
  <w:num w:numId="6">
    <w:abstractNumId w:val="17"/>
  </w:num>
  <w:num w:numId="7">
    <w:abstractNumId w:val="22"/>
  </w:num>
  <w:num w:numId="8">
    <w:abstractNumId w:val="8"/>
  </w:num>
  <w:num w:numId="9">
    <w:abstractNumId w:val="13"/>
  </w:num>
  <w:num w:numId="10">
    <w:abstractNumId w:val="3"/>
  </w:num>
  <w:num w:numId="11">
    <w:abstractNumId w:val="15"/>
  </w:num>
  <w:num w:numId="12">
    <w:abstractNumId w:val="9"/>
  </w:num>
  <w:num w:numId="13">
    <w:abstractNumId w:val="18"/>
  </w:num>
  <w:num w:numId="14">
    <w:abstractNumId w:val="23"/>
  </w:num>
  <w:num w:numId="15">
    <w:abstractNumId w:val="25"/>
  </w:num>
  <w:num w:numId="16">
    <w:abstractNumId w:val="10"/>
  </w:num>
  <w:num w:numId="17">
    <w:abstractNumId w:val="21"/>
  </w:num>
  <w:num w:numId="18">
    <w:abstractNumId w:val="12"/>
  </w:num>
  <w:num w:numId="19">
    <w:abstractNumId w:val="26"/>
  </w:num>
  <w:num w:numId="20">
    <w:abstractNumId w:val="16"/>
  </w:num>
  <w:num w:numId="21">
    <w:abstractNumId w:val="24"/>
  </w:num>
  <w:num w:numId="22">
    <w:abstractNumId w:val="11"/>
  </w:num>
  <w:num w:numId="23">
    <w:abstractNumId w:val="5"/>
  </w:num>
  <w:num w:numId="24">
    <w:abstractNumId w:val="4"/>
  </w:num>
  <w:num w:numId="25">
    <w:abstractNumId w:val="0"/>
  </w:num>
  <w:num w:numId="26">
    <w:abstractNumId w:val="20"/>
  </w:num>
  <w:num w:numId="2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10EB"/>
    <w:rsid w:val="00001295"/>
    <w:rsid w:val="00001AD9"/>
    <w:rsid w:val="0000228A"/>
    <w:rsid w:val="00002309"/>
    <w:rsid w:val="0000235B"/>
    <w:rsid w:val="000023A9"/>
    <w:rsid w:val="00002949"/>
    <w:rsid w:val="00003709"/>
    <w:rsid w:val="00003E78"/>
    <w:rsid w:val="000043D0"/>
    <w:rsid w:val="000043F9"/>
    <w:rsid w:val="00004D91"/>
    <w:rsid w:val="00004E9B"/>
    <w:rsid w:val="00005A26"/>
    <w:rsid w:val="000064E6"/>
    <w:rsid w:val="000067A0"/>
    <w:rsid w:val="0001148D"/>
    <w:rsid w:val="000119EC"/>
    <w:rsid w:val="0001204A"/>
    <w:rsid w:val="000127AE"/>
    <w:rsid w:val="00012DE0"/>
    <w:rsid w:val="00013307"/>
    <w:rsid w:val="00013986"/>
    <w:rsid w:val="0001433D"/>
    <w:rsid w:val="00014397"/>
    <w:rsid w:val="00014464"/>
    <w:rsid w:val="00017319"/>
    <w:rsid w:val="00017698"/>
    <w:rsid w:val="00017E66"/>
    <w:rsid w:val="00020534"/>
    <w:rsid w:val="00020587"/>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FB"/>
    <w:rsid w:val="00043C2F"/>
    <w:rsid w:val="0004465A"/>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104"/>
    <w:rsid w:val="0005574D"/>
    <w:rsid w:val="000557CF"/>
    <w:rsid w:val="00055F74"/>
    <w:rsid w:val="000560A9"/>
    <w:rsid w:val="00056C79"/>
    <w:rsid w:val="00056D25"/>
    <w:rsid w:val="000577A8"/>
    <w:rsid w:val="00057D14"/>
    <w:rsid w:val="00060CA4"/>
    <w:rsid w:val="00060F74"/>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B1C"/>
    <w:rsid w:val="00080FE2"/>
    <w:rsid w:val="000812E8"/>
    <w:rsid w:val="0008188B"/>
    <w:rsid w:val="0008338E"/>
    <w:rsid w:val="000842E8"/>
    <w:rsid w:val="0008455B"/>
    <w:rsid w:val="000849DD"/>
    <w:rsid w:val="00085F3D"/>
    <w:rsid w:val="000862EF"/>
    <w:rsid w:val="00086AEC"/>
    <w:rsid w:val="00086EBE"/>
    <w:rsid w:val="0008740C"/>
    <w:rsid w:val="000874C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77C"/>
    <w:rsid w:val="000A38B2"/>
    <w:rsid w:val="000A3995"/>
    <w:rsid w:val="000A3B69"/>
    <w:rsid w:val="000A416D"/>
    <w:rsid w:val="000A6553"/>
    <w:rsid w:val="000A6CF9"/>
    <w:rsid w:val="000A74F5"/>
    <w:rsid w:val="000A7BAE"/>
    <w:rsid w:val="000A7FBF"/>
    <w:rsid w:val="000B02FE"/>
    <w:rsid w:val="000B09B3"/>
    <w:rsid w:val="000B0A38"/>
    <w:rsid w:val="000B0B54"/>
    <w:rsid w:val="000B0EDD"/>
    <w:rsid w:val="000B1EB7"/>
    <w:rsid w:val="000B1EBD"/>
    <w:rsid w:val="000B253D"/>
    <w:rsid w:val="000B2A77"/>
    <w:rsid w:val="000B2D84"/>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E08B6"/>
    <w:rsid w:val="000E13BC"/>
    <w:rsid w:val="000E16EE"/>
    <w:rsid w:val="000E1BC4"/>
    <w:rsid w:val="000E1EA2"/>
    <w:rsid w:val="000E245F"/>
    <w:rsid w:val="000E2832"/>
    <w:rsid w:val="000E2A22"/>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7CD"/>
    <w:rsid w:val="000F7D85"/>
    <w:rsid w:val="000F7E68"/>
    <w:rsid w:val="0010044D"/>
    <w:rsid w:val="00100739"/>
    <w:rsid w:val="00100DEA"/>
    <w:rsid w:val="0010236D"/>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550C"/>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DAA"/>
    <w:rsid w:val="00141EE5"/>
    <w:rsid w:val="00141EEA"/>
    <w:rsid w:val="0014201C"/>
    <w:rsid w:val="00142961"/>
    <w:rsid w:val="00143454"/>
    <w:rsid w:val="00143679"/>
    <w:rsid w:val="001439B9"/>
    <w:rsid w:val="001443BA"/>
    <w:rsid w:val="001445B1"/>
    <w:rsid w:val="001449B2"/>
    <w:rsid w:val="00145491"/>
    <w:rsid w:val="001457E2"/>
    <w:rsid w:val="00145A49"/>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4762"/>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F70"/>
    <w:rsid w:val="001C3F8E"/>
    <w:rsid w:val="001C43F6"/>
    <w:rsid w:val="001C5033"/>
    <w:rsid w:val="001C5300"/>
    <w:rsid w:val="001C6364"/>
    <w:rsid w:val="001C6F19"/>
    <w:rsid w:val="001C706E"/>
    <w:rsid w:val="001C759B"/>
    <w:rsid w:val="001D0592"/>
    <w:rsid w:val="001D0609"/>
    <w:rsid w:val="001D07FE"/>
    <w:rsid w:val="001D0DAD"/>
    <w:rsid w:val="001D198B"/>
    <w:rsid w:val="001D1D99"/>
    <w:rsid w:val="001D27C3"/>
    <w:rsid w:val="001D2997"/>
    <w:rsid w:val="001D315A"/>
    <w:rsid w:val="001D33DC"/>
    <w:rsid w:val="001D45B5"/>
    <w:rsid w:val="001D4C05"/>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B38"/>
    <w:rsid w:val="001F0F5C"/>
    <w:rsid w:val="001F1803"/>
    <w:rsid w:val="001F1C71"/>
    <w:rsid w:val="001F21A4"/>
    <w:rsid w:val="001F23DE"/>
    <w:rsid w:val="001F2B8F"/>
    <w:rsid w:val="001F4094"/>
    <w:rsid w:val="001F4475"/>
    <w:rsid w:val="001F4509"/>
    <w:rsid w:val="001F4748"/>
    <w:rsid w:val="001F4CEA"/>
    <w:rsid w:val="001F5754"/>
    <w:rsid w:val="001F5ABB"/>
    <w:rsid w:val="001F5F1E"/>
    <w:rsid w:val="001F61F3"/>
    <w:rsid w:val="001F6261"/>
    <w:rsid w:val="001F70C6"/>
    <w:rsid w:val="001F74C4"/>
    <w:rsid w:val="001F782E"/>
    <w:rsid w:val="001F7E86"/>
    <w:rsid w:val="001F7EFE"/>
    <w:rsid w:val="002007EB"/>
    <w:rsid w:val="00201815"/>
    <w:rsid w:val="002024F0"/>
    <w:rsid w:val="00202960"/>
    <w:rsid w:val="00202B31"/>
    <w:rsid w:val="00202B94"/>
    <w:rsid w:val="00202C60"/>
    <w:rsid w:val="00203252"/>
    <w:rsid w:val="00203869"/>
    <w:rsid w:val="00203ED5"/>
    <w:rsid w:val="0020434F"/>
    <w:rsid w:val="002046FF"/>
    <w:rsid w:val="002047E6"/>
    <w:rsid w:val="002051FA"/>
    <w:rsid w:val="002059A5"/>
    <w:rsid w:val="00205C5F"/>
    <w:rsid w:val="00206154"/>
    <w:rsid w:val="002065B1"/>
    <w:rsid w:val="00207284"/>
    <w:rsid w:val="0020778A"/>
    <w:rsid w:val="00207FD7"/>
    <w:rsid w:val="00210C19"/>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4EC"/>
    <w:rsid w:val="002177AE"/>
    <w:rsid w:val="00217972"/>
    <w:rsid w:val="00217EFB"/>
    <w:rsid w:val="00221A37"/>
    <w:rsid w:val="00221C43"/>
    <w:rsid w:val="00222036"/>
    <w:rsid w:val="0022254B"/>
    <w:rsid w:val="00222E0C"/>
    <w:rsid w:val="002235BA"/>
    <w:rsid w:val="00224463"/>
    <w:rsid w:val="00225043"/>
    <w:rsid w:val="002259A8"/>
    <w:rsid w:val="00225A21"/>
    <w:rsid w:val="00226083"/>
    <w:rsid w:val="00226233"/>
    <w:rsid w:val="00227B90"/>
    <w:rsid w:val="002302A2"/>
    <w:rsid w:val="00230542"/>
    <w:rsid w:val="00230D1D"/>
    <w:rsid w:val="002311B1"/>
    <w:rsid w:val="002311B3"/>
    <w:rsid w:val="00231934"/>
    <w:rsid w:val="00231AAA"/>
    <w:rsid w:val="00232B1E"/>
    <w:rsid w:val="00232C73"/>
    <w:rsid w:val="0023359B"/>
    <w:rsid w:val="0023402D"/>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F29"/>
    <w:rsid w:val="00265CCA"/>
    <w:rsid w:val="002660E9"/>
    <w:rsid w:val="00266335"/>
    <w:rsid w:val="00266857"/>
    <w:rsid w:val="002670D6"/>
    <w:rsid w:val="0026710B"/>
    <w:rsid w:val="00267434"/>
    <w:rsid w:val="00267D08"/>
    <w:rsid w:val="00270F51"/>
    <w:rsid w:val="002714A8"/>
    <w:rsid w:val="002717B8"/>
    <w:rsid w:val="002722CB"/>
    <w:rsid w:val="002726BE"/>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39AE"/>
    <w:rsid w:val="002B3C08"/>
    <w:rsid w:val="002B514E"/>
    <w:rsid w:val="002B5A27"/>
    <w:rsid w:val="002B5D89"/>
    <w:rsid w:val="002B62B8"/>
    <w:rsid w:val="002B781D"/>
    <w:rsid w:val="002B7CC2"/>
    <w:rsid w:val="002C01DC"/>
    <w:rsid w:val="002C058B"/>
    <w:rsid w:val="002C06BD"/>
    <w:rsid w:val="002C0B07"/>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99A"/>
    <w:rsid w:val="002D0EE6"/>
    <w:rsid w:val="002D127B"/>
    <w:rsid w:val="002D14EE"/>
    <w:rsid w:val="002D1FDF"/>
    <w:rsid w:val="002D1FFD"/>
    <w:rsid w:val="002D247D"/>
    <w:rsid w:val="002D277D"/>
    <w:rsid w:val="002D343C"/>
    <w:rsid w:val="002D370A"/>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3044"/>
    <w:rsid w:val="003034E2"/>
    <w:rsid w:val="0030368B"/>
    <w:rsid w:val="00303B1A"/>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F8"/>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50C1"/>
    <w:rsid w:val="003456AF"/>
    <w:rsid w:val="00345947"/>
    <w:rsid w:val="0034597B"/>
    <w:rsid w:val="00345B9D"/>
    <w:rsid w:val="003462B7"/>
    <w:rsid w:val="0034630E"/>
    <w:rsid w:val="00346481"/>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E54"/>
    <w:rsid w:val="00372F2A"/>
    <w:rsid w:val="00373303"/>
    <w:rsid w:val="003736CF"/>
    <w:rsid w:val="003738BD"/>
    <w:rsid w:val="003747F9"/>
    <w:rsid w:val="00374B08"/>
    <w:rsid w:val="00374BF9"/>
    <w:rsid w:val="003751CF"/>
    <w:rsid w:val="0037534B"/>
    <w:rsid w:val="00375663"/>
    <w:rsid w:val="00375C62"/>
    <w:rsid w:val="00375E59"/>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632A"/>
    <w:rsid w:val="00396CB4"/>
    <w:rsid w:val="00397010"/>
    <w:rsid w:val="003973DC"/>
    <w:rsid w:val="00397FC8"/>
    <w:rsid w:val="003A0606"/>
    <w:rsid w:val="003A14C8"/>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34E"/>
    <w:rsid w:val="003B289E"/>
    <w:rsid w:val="003B2BC1"/>
    <w:rsid w:val="003B3C3F"/>
    <w:rsid w:val="003B4588"/>
    <w:rsid w:val="003B560D"/>
    <w:rsid w:val="003B5731"/>
    <w:rsid w:val="003B5A87"/>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4F2"/>
    <w:rsid w:val="003D28B2"/>
    <w:rsid w:val="003D2FB2"/>
    <w:rsid w:val="003D33F5"/>
    <w:rsid w:val="003D3A56"/>
    <w:rsid w:val="003D3A73"/>
    <w:rsid w:val="003D3F63"/>
    <w:rsid w:val="003D40F4"/>
    <w:rsid w:val="003D47A2"/>
    <w:rsid w:val="003D47FA"/>
    <w:rsid w:val="003D4A7C"/>
    <w:rsid w:val="003D4F6B"/>
    <w:rsid w:val="003D5829"/>
    <w:rsid w:val="003D61E5"/>
    <w:rsid w:val="003D6C3A"/>
    <w:rsid w:val="003D73BD"/>
    <w:rsid w:val="003D7E48"/>
    <w:rsid w:val="003D7E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AED"/>
    <w:rsid w:val="003E7FF4"/>
    <w:rsid w:val="003F029F"/>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450"/>
    <w:rsid w:val="004046CA"/>
    <w:rsid w:val="00404CD3"/>
    <w:rsid w:val="00404F9A"/>
    <w:rsid w:val="00405290"/>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6A5"/>
    <w:rsid w:val="004456F1"/>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5C"/>
    <w:rsid w:val="004B067E"/>
    <w:rsid w:val="004B077C"/>
    <w:rsid w:val="004B0A8C"/>
    <w:rsid w:val="004B0C34"/>
    <w:rsid w:val="004B102E"/>
    <w:rsid w:val="004B1992"/>
    <w:rsid w:val="004B21D0"/>
    <w:rsid w:val="004B2413"/>
    <w:rsid w:val="004B2494"/>
    <w:rsid w:val="004B2960"/>
    <w:rsid w:val="004B2EBF"/>
    <w:rsid w:val="004B2F95"/>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E4E"/>
    <w:rsid w:val="004C241E"/>
    <w:rsid w:val="004C2473"/>
    <w:rsid w:val="004C2504"/>
    <w:rsid w:val="004C2BCA"/>
    <w:rsid w:val="004C3323"/>
    <w:rsid w:val="004C389A"/>
    <w:rsid w:val="004C4F26"/>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117E"/>
    <w:rsid w:val="005015D0"/>
    <w:rsid w:val="005016C7"/>
    <w:rsid w:val="005017E6"/>
    <w:rsid w:val="0050282B"/>
    <w:rsid w:val="0050378E"/>
    <w:rsid w:val="005038EA"/>
    <w:rsid w:val="0050419A"/>
    <w:rsid w:val="005058F5"/>
    <w:rsid w:val="00505C7F"/>
    <w:rsid w:val="005066ED"/>
    <w:rsid w:val="00506956"/>
    <w:rsid w:val="00507006"/>
    <w:rsid w:val="005100AC"/>
    <w:rsid w:val="00510BFA"/>
    <w:rsid w:val="0051122D"/>
    <w:rsid w:val="0051197A"/>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30C"/>
    <w:rsid w:val="005444C0"/>
    <w:rsid w:val="00544ADD"/>
    <w:rsid w:val="00544CA4"/>
    <w:rsid w:val="00544DD1"/>
    <w:rsid w:val="005467DB"/>
    <w:rsid w:val="005468B5"/>
    <w:rsid w:val="005476E2"/>
    <w:rsid w:val="005478A3"/>
    <w:rsid w:val="0054796D"/>
    <w:rsid w:val="005509C4"/>
    <w:rsid w:val="00550B86"/>
    <w:rsid w:val="00550EC3"/>
    <w:rsid w:val="00550FDF"/>
    <w:rsid w:val="00551071"/>
    <w:rsid w:val="005510AC"/>
    <w:rsid w:val="0055136F"/>
    <w:rsid w:val="00552061"/>
    <w:rsid w:val="00553709"/>
    <w:rsid w:val="005538F1"/>
    <w:rsid w:val="00553DFA"/>
    <w:rsid w:val="0055442C"/>
    <w:rsid w:val="0055489B"/>
    <w:rsid w:val="005564B9"/>
    <w:rsid w:val="00557A49"/>
    <w:rsid w:val="00557DBF"/>
    <w:rsid w:val="005603F8"/>
    <w:rsid w:val="005605BA"/>
    <w:rsid w:val="00560AE3"/>
    <w:rsid w:val="0056104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224"/>
    <w:rsid w:val="00573872"/>
    <w:rsid w:val="00574982"/>
    <w:rsid w:val="00575012"/>
    <w:rsid w:val="00575387"/>
    <w:rsid w:val="00575E21"/>
    <w:rsid w:val="005762DA"/>
    <w:rsid w:val="005767E9"/>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959"/>
    <w:rsid w:val="005B1007"/>
    <w:rsid w:val="005B1309"/>
    <w:rsid w:val="005B1938"/>
    <w:rsid w:val="005B1AF1"/>
    <w:rsid w:val="005B1F1E"/>
    <w:rsid w:val="005B2AEF"/>
    <w:rsid w:val="005B312E"/>
    <w:rsid w:val="005B33A5"/>
    <w:rsid w:val="005B33F7"/>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40B2"/>
    <w:rsid w:val="005C4210"/>
    <w:rsid w:val="005C4A3E"/>
    <w:rsid w:val="005C4F4F"/>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65E0"/>
    <w:rsid w:val="005D6A36"/>
    <w:rsid w:val="005D7111"/>
    <w:rsid w:val="005D7A88"/>
    <w:rsid w:val="005E0547"/>
    <w:rsid w:val="005E08A1"/>
    <w:rsid w:val="005E0A47"/>
    <w:rsid w:val="005E0C54"/>
    <w:rsid w:val="005E0D86"/>
    <w:rsid w:val="005E0DE0"/>
    <w:rsid w:val="005E1293"/>
    <w:rsid w:val="005E1773"/>
    <w:rsid w:val="005E408F"/>
    <w:rsid w:val="005E4A7A"/>
    <w:rsid w:val="005E5019"/>
    <w:rsid w:val="005E51B8"/>
    <w:rsid w:val="005E5E6D"/>
    <w:rsid w:val="005E601B"/>
    <w:rsid w:val="005E6505"/>
    <w:rsid w:val="005E6A3C"/>
    <w:rsid w:val="005E6A95"/>
    <w:rsid w:val="005E72BF"/>
    <w:rsid w:val="005F03F6"/>
    <w:rsid w:val="005F043E"/>
    <w:rsid w:val="005F0B96"/>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E5"/>
    <w:rsid w:val="005F57F7"/>
    <w:rsid w:val="005F5963"/>
    <w:rsid w:val="005F5D39"/>
    <w:rsid w:val="005F6585"/>
    <w:rsid w:val="005F78D9"/>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36CF"/>
    <w:rsid w:val="006838FA"/>
    <w:rsid w:val="00684867"/>
    <w:rsid w:val="006850CE"/>
    <w:rsid w:val="006852CF"/>
    <w:rsid w:val="00685316"/>
    <w:rsid w:val="00685465"/>
    <w:rsid w:val="006859E6"/>
    <w:rsid w:val="00686455"/>
    <w:rsid w:val="00687C21"/>
    <w:rsid w:val="006902EE"/>
    <w:rsid w:val="0069082E"/>
    <w:rsid w:val="00691059"/>
    <w:rsid w:val="006911A8"/>
    <w:rsid w:val="00691CE9"/>
    <w:rsid w:val="00691E03"/>
    <w:rsid w:val="006924A1"/>
    <w:rsid w:val="006924AD"/>
    <w:rsid w:val="00693310"/>
    <w:rsid w:val="00693CA7"/>
    <w:rsid w:val="006943E4"/>
    <w:rsid w:val="00694723"/>
    <w:rsid w:val="0069492D"/>
    <w:rsid w:val="006955E0"/>
    <w:rsid w:val="00695900"/>
    <w:rsid w:val="00695C5D"/>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328D"/>
    <w:rsid w:val="006A32CF"/>
    <w:rsid w:val="006A348F"/>
    <w:rsid w:val="006A35FA"/>
    <w:rsid w:val="006A39C8"/>
    <w:rsid w:val="006A5282"/>
    <w:rsid w:val="006A563A"/>
    <w:rsid w:val="006A5D3A"/>
    <w:rsid w:val="006A6EA0"/>
    <w:rsid w:val="006A76AD"/>
    <w:rsid w:val="006B0284"/>
    <w:rsid w:val="006B0ECB"/>
    <w:rsid w:val="006B0F33"/>
    <w:rsid w:val="006B1482"/>
    <w:rsid w:val="006B189C"/>
    <w:rsid w:val="006B2D1F"/>
    <w:rsid w:val="006B3701"/>
    <w:rsid w:val="006B37AC"/>
    <w:rsid w:val="006B413C"/>
    <w:rsid w:val="006B48D3"/>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646F"/>
    <w:rsid w:val="006C68D2"/>
    <w:rsid w:val="006C6B55"/>
    <w:rsid w:val="006C7414"/>
    <w:rsid w:val="006C7AD3"/>
    <w:rsid w:val="006D02FD"/>
    <w:rsid w:val="006D0AF3"/>
    <w:rsid w:val="006D1391"/>
    <w:rsid w:val="006D1AA8"/>
    <w:rsid w:val="006D1E3B"/>
    <w:rsid w:val="006D20A4"/>
    <w:rsid w:val="006D23AC"/>
    <w:rsid w:val="006D26D6"/>
    <w:rsid w:val="006D2769"/>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8BB"/>
    <w:rsid w:val="006E2B77"/>
    <w:rsid w:val="006E2CA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364"/>
    <w:rsid w:val="00702489"/>
    <w:rsid w:val="00702671"/>
    <w:rsid w:val="00703957"/>
    <w:rsid w:val="007045F1"/>
    <w:rsid w:val="00705702"/>
    <w:rsid w:val="0070606F"/>
    <w:rsid w:val="0070708A"/>
    <w:rsid w:val="00707610"/>
    <w:rsid w:val="00707B5D"/>
    <w:rsid w:val="00707DCB"/>
    <w:rsid w:val="00710604"/>
    <w:rsid w:val="007108BA"/>
    <w:rsid w:val="007117E4"/>
    <w:rsid w:val="00711B33"/>
    <w:rsid w:val="0071201E"/>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40430"/>
    <w:rsid w:val="007409A2"/>
    <w:rsid w:val="0074111C"/>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D75"/>
    <w:rsid w:val="00750F86"/>
    <w:rsid w:val="00751B47"/>
    <w:rsid w:val="00751C57"/>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A89"/>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BD9"/>
    <w:rsid w:val="007A2E9E"/>
    <w:rsid w:val="007A324D"/>
    <w:rsid w:val="007A3F63"/>
    <w:rsid w:val="007A4042"/>
    <w:rsid w:val="007A41D0"/>
    <w:rsid w:val="007A41E3"/>
    <w:rsid w:val="007A4B63"/>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A37"/>
    <w:rsid w:val="007C2AD8"/>
    <w:rsid w:val="007C37E1"/>
    <w:rsid w:val="007C456D"/>
    <w:rsid w:val="007C4DDE"/>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533"/>
    <w:rsid w:val="007F4BF2"/>
    <w:rsid w:val="007F54BF"/>
    <w:rsid w:val="007F5A64"/>
    <w:rsid w:val="007F6DCB"/>
    <w:rsid w:val="007F72BD"/>
    <w:rsid w:val="007F737E"/>
    <w:rsid w:val="00800E03"/>
    <w:rsid w:val="00800F35"/>
    <w:rsid w:val="008011C1"/>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FFE"/>
    <w:rsid w:val="00813254"/>
    <w:rsid w:val="0081351F"/>
    <w:rsid w:val="008142B5"/>
    <w:rsid w:val="008143F6"/>
    <w:rsid w:val="0081467D"/>
    <w:rsid w:val="00814771"/>
    <w:rsid w:val="008150D1"/>
    <w:rsid w:val="008154BC"/>
    <w:rsid w:val="00816747"/>
    <w:rsid w:val="00816834"/>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62D0"/>
    <w:rsid w:val="00846CDF"/>
    <w:rsid w:val="00847016"/>
    <w:rsid w:val="008475C4"/>
    <w:rsid w:val="00847686"/>
    <w:rsid w:val="00850138"/>
    <w:rsid w:val="008507C8"/>
    <w:rsid w:val="00851B0A"/>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12BA"/>
    <w:rsid w:val="00871800"/>
    <w:rsid w:val="00871B88"/>
    <w:rsid w:val="008727C2"/>
    <w:rsid w:val="00872875"/>
    <w:rsid w:val="00872E76"/>
    <w:rsid w:val="0087320A"/>
    <w:rsid w:val="00873285"/>
    <w:rsid w:val="00873C2A"/>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115"/>
    <w:rsid w:val="008C13A7"/>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1E9"/>
    <w:rsid w:val="008F0482"/>
    <w:rsid w:val="008F04B3"/>
    <w:rsid w:val="008F0C91"/>
    <w:rsid w:val="008F0FE1"/>
    <w:rsid w:val="008F10E7"/>
    <w:rsid w:val="008F1CC3"/>
    <w:rsid w:val="008F1F82"/>
    <w:rsid w:val="008F2040"/>
    <w:rsid w:val="008F263D"/>
    <w:rsid w:val="008F2E1C"/>
    <w:rsid w:val="008F2E1D"/>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10502"/>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4D53"/>
    <w:rsid w:val="00945EBF"/>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5E21"/>
    <w:rsid w:val="00997981"/>
    <w:rsid w:val="00997D59"/>
    <w:rsid w:val="00997D9C"/>
    <w:rsid w:val="009A07E1"/>
    <w:rsid w:val="009A108A"/>
    <w:rsid w:val="009A1A1E"/>
    <w:rsid w:val="009A1C52"/>
    <w:rsid w:val="009A1ED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6474"/>
    <w:rsid w:val="009D654E"/>
    <w:rsid w:val="009D6EA2"/>
    <w:rsid w:val="009D7095"/>
    <w:rsid w:val="009D77B1"/>
    <w:rsid w:val="009D7DDC"/>
    <w:rsid w:val="009E0917"/>
    <w:rsid w:val="009E0F0D"/>
    <w:rsid w:val="009E1319"/>
    <w:rsid w:val="009E1678"/>
    <w:rsid w:val="009E2651"/>
    <w:rsid w:val="009E308D"/>
    <w:rsid w:val="009E3362"/>
    <w:rsid w:val="009E3D55"/>
    <w:rsid w:val="009E441C"/>
    <w:rsid w:val="009E4775"/>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51B2"/>
    <w:rsid w:val="009F53E9"/>
    <w:rsid w:val="009F5967"/>
    <w:rsid w:val="009F67EA"/>
    <w:rsid w:val="009F765C"/>
    <w:rsid w:val="00A00153"/>
    <w:rsid w:val="00A004F2"/>
    <w:rsid w:val="00A00C16"/>
    <w:rsid w:val="00A01248"/>
    <w:rsid w:val="00A0178A"/>
    <w:rsid w:val="00A01A16"/>
    <w:rsid w:val="00A01D35"/>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D86"/>
    <w:rsid w:val="00A47F3C"/>
    <w:rsid w:val="00A500D2"/>
    <w:rsid w:val="00A50482"/>
    <w:rsid w:val="00A506C5"/>
    <w:rsid w:val="00A50FCA"/>
    <w:rsid w:val="00A52383"/>
    <w:rsid w:val="00A52416"/>
    <w:rsid w:val="00A529F5"/>
    <w:rsid w:val="00A52D94"/>
    <w:rsid w:val="00A52DD3"/>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44FF"/>
    <w:rsid w:val="00A748FF"/>
    <w:rsid w:val="00A74B86"/>
    <w:rsid w:val="00A757A1"/>
    <w:rsid w:val="00A75838"/>
    <w:rsid w:val="00A801A4"/>
    <w:rsid w:val="00A801F8"/>
    <w:rsid w:val="00A8032B"/>
    <w:rsid w:val="00A81363"/>
    <w:rsid w:val="00A816D5"/>
    <w:rsid w:val="00A819FC"/>
    <w:rsid w:val="00A81AF7"/>
    <w:rsid w:val="00A81BA4"/>
    <w:rsid w:val="00A822E6"/>
    <w:rsid w:val="00A82E9D"/>
    <w:rsid w:val="00A83254"/>
    <w:rsid w:val="00A836F7"/>
    <w:rsid w:val="00A83A19"/>
    <w:rsid w:val="00A83B05"/>
    <w:rsid w:val="00A84991"/>
    <w:rsid w:val="00A87A1E"/>
    <w:rsid w:val="00A901FC"/>
    <w:rsid w:val="00A90A19"/>
    <w:rsid w:val="00A91177"/>
    <w:rsid w:val="00A913CF"/>
    <w:rsid w:val="00A919DE"/>
    <w:rsid w:val="00A9252A"/>
    <w:rsid w:val="00A93EC3"/>
    <w:rsid w:val="00A94A6C"/>
    <w:rsid w:val="00A94B72"/>
    <w:rsid w:val="00A95130"/>
    <w:rsid w:val="00A95491"/>
    <w:rsid w:val="00A95498"/>
    <w:rsid w:val="00A9574B"/>
    <w:rsid w:val="00A95EDA"/>
    <w:rsid w:val="00A967D6"/>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3591"/>
    <w:rsid w:val="00AB3669"/>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717E"/>
    <w:rsid w:val="00AD7448"/>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498"/>
    <w:rsid w:val="00B476B7"/>
    <w:rsid w:val="00B47C97"/>
    <w:rsid w:val="00B506CB"/>
    <w:rsid w:val="00B507D2"/>
    <w:rsid w:val="00B50C01"/>
    <w:rsid w:val="00B50E01"/>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C1"/>
    <w:rsid w:val="00B80441"/>
    <w:rsid w:val="00B805FB"/>
    <w:rsid w:val="00B8092D"/>
    <w:rsid w:val="00B80A67"/>
    <w:rsid w:val="00B80D43"/>
    <w:rsid w:val="00B82C72"/>
    <w:rsid w:val="00B82E27"/>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7A6"/>
    <w:rsid w:val="00C117A9"/>
    <w:rsid w:val="00C11A26"/>
    <w:rsid w:val="00C120E9"/>
    <w:rsid w:val="00C12287"/>
    <w:rsid w:val="00C127E9"/>
    <w:rsid w:val="00C137F5"/>
    <w:rsid w:val="00C14EFF"/>
    <w:rsid w:val="00C15B56"/>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6442"/>
    <w:rsid w:val="00C266F5"/>
    <w:rsid w:val="00C26C9E"/>
    <w:rsid w:val="00C27848"/>
    <w:rsid w:val="00C27A97"/>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A40"/>
    <w:rsid w:val="00C35D0D"/>
    <w:rsid w:val="00C3780F"/>
    <w:rsid w:val="00C40209"/>
    <w:rsid w:val="00C40457"/>
    <w:rsid w:val="00C40577"/>
    <w:rsid w:val="00C40A96"/>
    <w:rsid w:val="00C40C32"/>
    <w:rsid w:val="00C4146C"/>
    <w:rsid w:val="00C41959"/>
    <w:rsid w:val="00C43FDF"/>
    <w:rsid w:val="00C44725"/>
    <w:rsid w:val="00C447EC"/>
    <w:rsid w:val="00C449F3"/>
    <w:rsid w:val="00C44F42"/>
    <w:rsid w:val="00C459AD"/>
    <w:rsid w:val="00C46501"/>
    <w:rsid w:val="00C4770A"/>
    <w:rsid w:val="00C47A4B"/>
    <w:rsid w:val="00C47B74"/>
    <w:rsid w:val="00C5076F"/>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BB"/>
    <w:rsid w:val="00C82488"/>
    <w:rsid w:val="00C8253C"/>
    <w:rsid w:val="00C82729"/>
    <w:rsid w:val="00C8297E"/>
    <w:rsid w:val="00C829C5"/>
    <w:rsid w:val="00C83EF8"/>
    <w:rsid w:val="00C8512E"/>
    <w:rsid w:val="00C85650"/>
    <w:rsid w:val="00C8587C"/>
    <w:rsid w:val="00C85941"/>
    <w:rsid w:val="00C85F78"/>
    <w:rsid w:val="00C85FB6"/>
    <w:rsid w:val="00C862E2"/>
    <w:rsid w:val="00C879D5"/>
    <w:rsid w:val="00C9008D"/>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5D7"/>
    <w:rsid w:val="00CA781B"/>
    <w:rsid w:val="00CB179F"/>
    <w:rsid w:val="00CB17BD"/>
    <w:rsid w:val="00CB1852"/>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E20"/>
    <w:rsid w:val="00CF5447"/>
    <w:rsid w:val="00CF5826"/>
    <w:rsid w:val="00CF59FB"/>
    <w:rsid w:val="00CF5B35"/>
    <w:rsid w:val="00CF5F8E"/>
    <w:rsid w:val="00CF7478"/>
    <w:rsid w:val="00CF7C0E"/>
    <w:rsid w:val="00CF7F2A"/>
    <w:rsid w:val="00D00176"/>
    <w:rsid w:val="00D00C82"/>
    <w:rsid w:val="00D0114F"/>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51CE"/>
    <w:rsid w:val="00D25638"/>
    <w:rsid w:val="00D26D45"/>
    <w:rsid w:val="00D27D37"/>
    <w:rsid w:val="00D30371"/>
    <w:rsid w:val="00D30E43"/>
    <w:rsid w:val="00D31225"/>
    <w:rsid w:val="00D31E8B"/>
    <w:rsid w:val="00D3221E"/>
    <w:rsid w:val="00D329DE"/>
    <w:rsid w:val="00D32CE0"/>
    <w:rsid w:val="00D33489"/>
    <w:rsid w:val="00D3389D"/>
    <w:rsid w:val="00D3412A"/>
    <w:rsid w:val="00D34315"/>
    <w:rsid w:val="00D34B53"/>
    <w:rsid w:val="00D35F16"/>
    <w:rsid w:val="00D367A5"/>
    <w:rsid w:val="00D36C5A"/>
    <w:rsid w:val="00D37317"/>
    <w:rsid w:val="00D3775B"/>
    <w:rsid w:val="00D37A06"/>
    <w:rsid w:val="00D402BD"/>
    <w:rsid w:val="00D40B8A"/>
    <w:rsid w:val="00D40F3C"/>
    <w:rsid w:val="00D42073"/>
    <w:rsid w:val="00D42ACA"/>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70DAB"/>
    <w:rsid w:val="00D712B6"/>
    <w:rsid w:val="00D72B3D"/>
    <w:rsid w:val="00D73797"/>
    <w:rsid w:val="00D73CA9"/>
    <w:rsid w:val="00D74B7C"/>
    <w:rsid w:val="00D75591"/>
    <w:rsid w:val="00D75C85"/>
    <w:rsid w:val="00D76F65"/>
    <w:rsid w:val="00D773D9"/>
    <w:rsid w:val="00D77790"/>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B86"/>
    <w:rsid w:val="00D95B34"/>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34"/>
    <w:rsid w:val="00E23162"/>
    <w:rsid w:val="00E2322C"/>
    <w:rsid w:val="00E23F78"/>
    <w:rsid w:val="00E240D4"/>
    <w:rsid w:val="00E24EC5"/>
    <w:rsid w:val="00E24F61"/>
    <w:rsid w:val="00E2564E"/>
    <w:rsid w:val="00E2589A"/>
    <w:rsid w:val="00E25913"/>
    <w:rsid w:val="00E2628B"/>
    <w:rsid w:val="00E26672"/>
    <w:rsid w:val="00E276EA"/>
    <w:rsid w:val="00E27778"/>
    <w:rsid w:val="00E27DC2"/>
    <w:rsid w:val="00E30563"/>
    <w:rsid w:val="00E30E23"/>
    <w:rsid w:val="00E31840"/>
    <w:rsid w:val="00E31EAE"/>
    <w:rsid w:val="00E31F41"/>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AAE"/>
    <w:rsid w:val="00E53019"/>
    <w:rsid w:val="00E53332"/>
    <w:rsid w:val="00E542A0"/>
    <w:rsid w:val="00E5454C"/>
    <w:rsid w:val="00E54EC1"/>
    <w:rsid w:val="00E551B1"/>
    <w:rsid w:val="00E55528"/>
    <w:rsid w:val="00E559EB"/>
    <w:rsid w:val="00E562B1"/>
    <w:rsid w:val="00E5644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EC5"/>
    <w:rsid w:val="00E67F52"/>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508A"/>
    <w:rsid w:val="00E85448"/>
    <w:rsid w:val="00E858AA"/>
    <w:rsid w:val="00E8620F"/>
    <w:rsid w:val="00E866E4"/>
    <w:rsid w:val="00E868EF"/>
    <w:rsid w:val="00E8692E"/>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63DD"/>
    <w:rsid w:val="00E965FA"/>
    <w:rsid w:val="00E96713"/>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F5F"/>
    <w:rsid w:val="00EB1143"/>
    <w:rsid w:val="00EB151E"/>
    <w:rsid w:val="00EB1726"/>
    <w:rsid w:val="00EB1B49"/>
    <w:rsid w:val="00EB2661"/>
    <w:rsid w:val="00EB2B56"/>
    <w:rsid w:val="00EB3019"/>
    <w:rsid w:val="00EB306E"/>
    <w:rsid w:val="00EB324D"/>
    <w:rsid w:val="00EB33AD"/>
    <w:rsid w:val="00EB34F9"/>
    <w:rsid w:val="00EB41E8"/>
    <w:rsid w:val="00EB435B"/>
    <w:rsid w:val="00EB48C8"/>
    <w:rsid w:val="00EB5AE5"/>
    <w:rsid w:val="00EB6573"/>
    <w:rsid w:val="00EB753F"/>
    <w:rsid w:val="00EC062B"/>
    <w:rsid w:val="00EC0B0E"/>
    <w:rsid w:val="00EC0C5F"/>
    <w:rsid w:val="00EC16D3"/>
    <w:rsid w:val="00EC1A9A"/>
    <w:rsid w:val="00EC1B18"/>
    <w:rsid w:val="00EC23F4"/>
    <w:rsid w:val="00EC2676"/>
    <w:rsid w:val="00EC2A5B"/>
    <w:rsid w:val="00EC43E6"/>
    <w:rsid w:val="00EC4A4A"/>
    <w:rsid w:val="00EC4A6A"/>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7D1F"/>
    <w:rsid w:val="00EE7EFE"/>
    <w:rsid w:val="00EF0104"/>
    <w:rsid w:val="00EF02A4"/>
    <w:rsid w:val="00EF0FC6"/>
    <w:rsid w:val="00EF10E7"/>
    <w:rsid w:val="00EF11BA"/>
    <w:rsid w:val="00EF24E5"/>
    <w:rsid w:val="00EF27B3"/>
    <w:rsid w:val="00EF3284"/>
    <w:rsid w:val="00EF33DD"/>
    <w:rsid w:val="00EF3B2D"/>
    <w:rsid w:val="00EF43DC"/>
    <w:rsid w:val="00EF478D"/>
    <w:rsid w:val="00EF47F9"/>
    <w:rsid w:val="00EF5B95"/>
    <w:rsid w:val="00EF5F5B"/>
    <w:rsid w:val="00EF6BB4"/>
    <w:rsid w:val="00EF7C74"/>
    <w:rsid w:val="00F002F3"/>
    <w:rsid w:val="00F00352"/>
    <w:rsid w:val="00F003B8"/>
    <w:rsid w:val="00F00958"/>
    <w:rsid w:val="00F01FB8"/>
    <w:rsid w:val="00F027BC"/>
    <w:rsid w:val="00F028D1"/>
    <w:rsid w:val="00F032DE"/>
    <w:rsid w:val="00F0355E"/>
    <w:rsid w:val="00F0356C"/>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BAB"/>
    <w:rsid w:val="00F25BF6"/>
    <w:rsid w:val="00F26151"/>
    <w:rsid w:val="00F2634D"/>
    <w:rsid w:val="00F27388"/>
    <w:rsid w:val="00F27513"/>
    <w:rsid w:val="00F27A13"/>
    <w:rsid w:val="00F3006F"/>
    <w:rsid w:val="00F30ECC"/>
    <w:rsid w:val="00F31273"/>
    <w:rsid w:val="00F312B4"/>
    <w:rsid w:val="00F322E2"/>
    <w:rsid w:val="00F324CF"/>
    <w:rsid w:val="00F32948"/>
    <w:rsid w:val="00F33F98"/>
    <w:rsid w:val="00F33FA7"/>
    <w:rsid w:val="00F33FE6"/>
    <w:rsid w:val="00F341DA"/>
    <w:rsid w:val="00F3481E"/>
    <w:rsid w:val="00F34EA1"/>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44B8"/>
    <w:rsid w:val="00F55043"/>
    <w:rsid w:val="00F55CB4"/>
    <w:rsid w:val="00F56AE7"/>
    <w:rsid w:val="00F56B4D"/>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C33"/>
    <w:rsid w:val="00F74615"/>
    <w:rsid w:val="00F74701"/>
    <w:rsid w:val="00F747AD"/>
    <w:rsid w:val="00F75089"/>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6E9"/>
    <w:rsid w:val="00F929DB"/>
    <w:rsid w:val="00F92FA1"/>
    <w:rsid w:val="00F93275"/>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784"/>
    <w:rsid w:val="00FB1FBC"/>
    <w:rsid w:val="00FB233C"/>
    <w:rsid w:val="00FB23E4"/>
    <w:rsid w:val="00FB2D59"/>
    <w:rsid w:val="00FB2E6F"/>
    <w:rsid w:val="00FB3248"/>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DB0"/>
    <w:rsid w:val="00FC3460"/>
    <w:rsid w:val="00FC3D37"/>
    <w:rsid w:val="00FC4DFA"/>
    <w:rsid w:val="00FC6C74"/>
    <w:rsid w:val="00FC7035"/>
    <w:rsid w:val="00FC7E35"/>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Microsoft_Excel_97-2003_Worksheet3.xls"/><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Microsoft_Excel_97-2003_Worksheet1.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oleObject" Target="embeddings/Microsoft_Excel_97-2003_Worksheet4.xls"/><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oleObject" Target="embeddings/Microsoft_Excel_97-2003_Worksheet2.xls"/><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rivera\Desktop\Mis%20documentos\CUENTA%20P&#218;BLICA%20ANUAL%202015\PIB%20NAYARIT%20PARA%20CUENTA%20P&#218;BLICA%202015%20(GR&#193;F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rivera\Desktop\Mis%20documentos\CUENTA%20P&#218;BLICA%20ANUAL%202015\TRABAJADORES%20ASEGURADOS%20EN%20EL%20IMSS%20EN%20NAYARIT%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18940936863543789"/>
          <c:y val="5.6451612903225805E-2"/>
          <c:w val="0.7820773930753564"/>
          <c:h val="0.782258064516129"/>
        </c:manualLayout>
      </c:layout>
      <c:bar3DChart>
        <c:barDir val="col"/>
        <c:grouping val="clustered"/>
        <c:varyColors val="0"/>
        <c:ser>
          <c:idx val="0"/>
          <c:order val="0"/>
          <c:spPr>
            <a:solidFill>
              <a:srgbClr val="9999FF"/>
            </a:solidFill>
            <a:ln w="12700">
              <a:solidFill>
                <a:srgbClr val="000000"/>
              </a:solidFill>
              <a:prstDash val="solid"/>
            </a:ln>
          </c:spPr>
          <c:invertIfNegative val="0"/>
          <c:dPt>
            <c:idx val="0"/>
            <c:invertIfNegative val="0"/>
            <c:bubble3D val="0"/>
            <c:spPr>
              <a:solidFill>
                <a:srgbClr val="CC99FF"/>
              </a:solidFill>
              <a:ln w="12700">
                <a:solidFill>
                  <a:srgbClr val="000000"/>
                </a:solidFill>
                <a:prstDash val="solid"/>
              </a:ln>
            </c:spPr>
          </c:dPt>
          <c:dPt>
            <c:idx val="1"/>
            <c:invertIfNegative val="0"/>
            <c:bubble3D val="0"/>
            <c:spPr>
              <a:solidFill>
                <a:srgbClr val="808000"/>
              </a:solidFill>
              <a:ln w="12700">
                <a:solidFill>
                  <a:srgbClr val="000000"/>
                </a:solidFill>
                <a:prstDash val="solid"/>
              </a:ln>
            </c:spPr>
          </c:dPt>
          <c:dPt>
            <c:idx val="2"/>
            <c:invertIfNegative val="0"/>
            <c:bubble3D val="0"/>
            <c:spPr>
              <a:solidFill>
                <a:srgbClr val="00FFFF"/>
              </a:solidFill>
              <a:ln w="12700">
                <a:solidFill>
                  <a:srgbClr val="000000"/>
                </a:solidFill>
                <a:prstDash val="solid"/>
              </a:ln>
            </c:spPr>
          </c:dPt>
          <c:dPt>
            <c:idx val="3"/>
            <c:invertIfNegative val="0"/>
            <c:bubble3D val="0"/>
            <c:spPr>
              <a:solidFill>
                <a:srgbClr val="993300"/>
              </a:solidFill>
              <a:ln w="12700">
                <a:solidFill>
                  <a:srgbClr val="000000"/>
                </a:solidFill>
                <a:prstDash val="solid"/>
              </a:ln>
            </c:spPr>
          </c:dPt>
          <c:dPt>
            <c:idx val="4"/>
            <c:invertIfNegative val="0"/>
            <c:bubble3D val="0"/>
            <c:spPr>
              <a:solidFill>
                <a:srgbClr val="FF0000"/>
              </a:solidFill>
              <a:ln w="12700">
                <a:solidFill>
                  <a:srgbClr val="000000"/>
                </a:solidFill>
                <a:prstDash val="solid"/>
              </a:ln>
            </c:spPr>
          </c:dPt>
          <c:dLbls>
            <c:dLbl>
              <c:idx val="0"/>
              <c:layout>
                <c:manualLayout>
                  <c:x val="5.6934960523009989E-2"/>
                  <c:y val="-0.13722250444500886"/>
                </c:manualLayout>
              </c:layout>
              <c:showLegendKey val="0"/>
              <c:showVal val="1"/>
              <c:showCatName val="0"/>
              <c:showSerName val="0"/>
              <c:showPercent val="0"/>
              <c:showBubbleSize val="0"/>
            </c:dLbl>
            <c:dLbl>
              <c:idx val="1"/>
              <c:layout>
                <c:manualLayout>
                  <c:x val="6.3914128860165398E-2"/>
                  <c:y val="-0.1413237659808653"/>
                </c:manualLayout>
              </c:layout>
              <c:showLegendKey val="0"/>
              <c:showVal val="1"/>
              <c:showCatName val="0"/>
              <c:showSerName val="0"/>
              <c:showPercent val="0"/>
              <c:showBubbleSize val="0"/>
            </c:dLbl>
            <c:dLbl>
              <c:idx val="2"/>
              <c:layout>
                <c:manualLayout>
                  <c:x val="6.4783317563919626E-2"/>
                  <c:y val="-0.13671450342900685"/>
                </c:manualLayout>
              </c:layout>
              <c:showLegendKey val="0"/>
              <c:showVal val="1"/>
              <c:showCatName val="0"/>
              <c:showSerName val="0"/>
              <c:showPercent val="0"/>
              <c:showBubbleSize val="0"/>
            </c:dLbl>
            <c:dLbl>
              <c:idx val="3"/>
              <c:layout>
                <c:manualLayout>
                  <c:x val="6.5652720090233083E-2"/>
                  <c:y val="-0.13166497332994667"/>
                </c:manualLayout>
              </c:layout>
              <c:showLegendKey val="0"/>
              <c:showVal val="1"/>
              <c:showCatName val="0"/>
              <c:showSerName val="0"/>
              <c:showPercent val="0"/>
              <c:showBubbleSize val="0"/>
            </c:dLbl>
            <c:dLbl>
              <c:idx val="4"/>
              <c:layout>
                <c:manualLayout>
                  <c:x val="0.13780500451700156"/>
                  <c:y val="-0.14764372195411057"/>
                </c:manualLayout>
              </c:layout>
              <c:showLegendKey val="0"/>
              <c:showVal val="1"/>
              <c:showCatName val="0"/>
              <c:showSerName val="0"/>
              <c:showPercent val="0"/>
              <c:showBubbleSize val="0"/>
            </c:dLbl>
            <c:spPr>
              <a:noFill/>
              <a:ln w="25400">
                <a:noFill/>
              </a:ln>
            </c:spPr>
            <c:txPr>
              <a:bodyPr/>
              <a:lstStyle/>
              <a:p>
                <a:pPr algn="ctr" rtl="0">
                  <a:defRPr sz="7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dLbls>
          <c:cat>
            <c:strRef>
              <c:f>'2009-2013'!$A$5:$A$9</c:f>
              <c:strCache>
                <c:ptCount val="5"/>
                <c:pt idx="0">
                  <c:v>2010</c:v>
                </c:pt>
                <c:pt idx="1">
                  <c:v>2011</c:v>
                </c:pt>
                <c:pt idx="2">
                  <c:v>2012</c:v>
                </c:pt>
                <c:pt idx="3">
                  <c:v>2013</c:v>
                </c:pt>
                <c:pt idx="4">
                  <c:v>2014</c:v>
                </c:pt>
              </c:strCache>
            </c:strRef>
          </c:cat>
          <c:val>
            <c:numRef>
              <c:f>'2009-2013'!$B$5:$B$9</c:f>
              <c:numCache>
                <c:formatCode>_-* #,##0_-;\-* #,##0_-;_-* "-"??_-;_-@_-</c:formatCode>
                <c:ptCount val="5"/>
                <c:pt idx="0">
                  <c:v>78389</c:v>
                </c:pt>
                <c:pt idx="1">
                  <c:v>80083</c:v>
                </c:pt>
                <c:pt idx="2">
                  <c:v>81082</c:v>
                </c:pt>
                <c:pt idx="3">
                  <c:v>84254</c:v>
                </c:pt>
                <c:pt idx="4">
                  <c:v>87777</c:v>
                </c:pt>
              </c:numCache>
            </c:numRef>
          </c:val>
        </c:ser>
        <c:dLbls>
          <c:showLegendKey val="0"/>
          <c:showVal val="1"/>
          <c:showCatName val="0"/>
          <c:showSerName val="0"/>
          <c:showPercent val="0"/>
          <c:showBubbleSize val="0"/>
        </c:dLbls>
        <c:gapWidth val="150"/>
        <c:gapDepth val="0"/>
        <c:shape val="box"/>
        <c:axId val="292788096"/>
        <c:axId val="292805248"/>
        <c:axId val="0"/>
      </c:bar3DChart>
      <c:catAx>
        <c:axId val="2927880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s-MX"/>
          </a:p>
        </c:txPr>
        <c:crossAx val="292805248"/>
        <c:crosses val="autoZero"/>
        <c:auto val="1"/>
        <c:lblAlgn val="ctr"/>
        <c:lblOffset val="100"/>
        <c:tickLblSkip val="1"/>
        <c:tickMarkSkip val="1"/>
        <c:noMultiLvlLbl val="0"/>
      </c:catAx>
      <c:valAx>
        <c:axId val="292805248"/>
        <c:scaling>
          <c:orientation val="minMax"/>
          <c:max val="90000"/>
          <c:min val="60000"/>
        </c:scaling>
        <c:delete val="0"/>
        <c:axPos val="l"/>
        <c:numFmt formatCode="_-* #,##0_-;\-* #,##0_-;_-* &quot;-&quot;??_-;_-@_-"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MX"/>
          </a:p>
        </c:txPr>
        <c:crossAx val="292788096"/>
        <c:crosses val="autoZero"/>
        <c:crossBetween val="between"/>
        <c:majorUnit val="2000"/>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41955193482691"/>
          <c:y val="0.10344866292752831"/>
          <c:w val="0.83299389002036661"/>
          <c:h val="0.5823776579623815"/>
        </c:manualLayout>
      </c:layout>
      <c:lineChart>
        <c:grouping val="standard"/>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dLbls>
            <c:dLbl>
              <c:idx val="1"/>
              <c:layout>
                <c:manualLayout>
                  <c:x val="-5.0773331696111083E-2"/>
                  <c:y val="-5.3854696734336779E-2"/>
                </c:manualLayout>
              </c:layout>
              <c:dLblPos val="r"/>
              <c:showLegendKey val="0"/>
              <c:showVal val="1"/>
              <c:showCatName val="0"/>
              <c:showSerName val="0"/>
              <c:showPercent val="0"/>
              <c:showBubbleSize val="0"/>
            </c:dLbl>
            <c:dLbl>
              <c:idx val="6"/>
              <c:layout>
                <c:manualLayout>
                  <c:x val="-2.7381518830614009E-2"/>
                  <c:y val="-4.4784401949756282E-2"/>
                </c:manualLayout>
              </c:layout>
              <c:dLblPos val="r"/>
              <c:showLegendKey val="0"/>
              <c:showVal val="1"/>
              <c:showCatName val="0"/>
              <c:showSerName val="0"/>
              <c:showPercent val="0"/>
              <c:showBubbleSize val="0"/>
            </c:dLbl>
            <c:dLbl>
              <c:idx val="7"/>
              <c:layout>
                <c:manualLayout>
                  <c:x val="-4.5575151059333956E-2"/>
                  <c:y val="3.6848251111468208E-2"/>
                </c:manualLayout>
              </c:layout>
              <c:dLblPos val="r"/>
              <c:showLegendKey val="0"/>
              <c:showVal val="1"/>
              <c:showCatName val="0"/>
              <c:showSerName val="0"/>
              <c:showPercent val="0"/>
              <c:showBubbleSize val="0"/>
            </c:dLbl>
            <c:dLbl>
              <c:idx val="8"/>
              <c:layout>
                <c:manualLayout>
                  <c:x val="-7.797270955165597E-3"/>
                  <c:y val="-1.3605442176870748E-2"/>
                </c:manualLayout>
              </c:layout>
              <c:dLblPos val="t"/>
              <c:showLegendKey val="0"/>
              <c:showVal val="1"/>
              <c:showCatName val="0"/>
              <c:showSerName val="0"/>
              <c:showPercent val="0"/>
              <c:showBubbleSize val="0"/>
            </c:dLbl>
            <c:dLbl>
              <c:idx val="9"/>
              <c:layout>
                <c:manualLayout>
                  <c:x val="-6.376878328805391E-2"/>
                  <c:y val="-4.4784401949756282E-2"/>
                </c:manualLayout>
              </c:layout>
              <c:dLblPos val="r"/>
              <c:showLegendKey val="0"/>
              <c:showVal val="1"/>
              <c:showCatName val="0"/>
              <c:showSerName val="0"/>
              <c:showPercent val="0"/>
              <c:showBubbleSize val="0"/>
            </c:dLbl>
            <c:dLbl>
              <c:idx val="10"/>
              <c:layout>
                <c:manualLayout>
                  <c:x val="-5.5971512332888211E-2"/>
                  <c:y val="-3.1178959772885532E-2"/>
                </c:manualLayout>
              </c:layout>
              <c:dLblPos val="r"/>
              <c:showLegendKey val="0"/>
              <c:showVal val="1"/>
              <c:showCatName val="0"/>
              <c:showSerName val="0"/>
              <c:showPercent val="0"/>
              <c:showBubbleSize val="0"/>
            </c:dLbl>
            <c:spPr>
              <a:noFill/>
              <a:ln w="25400">
                <a:noFill/>
              </a:ln>
            </c:spPr>
            <c:txPr>
              <a:bodyPr/>
              <a:lstStyle/>
              <a:p>
                <a:pPr>
                  <a:defRPr sz="500" b="0" i="0" u="none" strike="noStrike" baseline="0">
                    <a:solidFill>
                      <a:srgbClr val="000000"/>
                    </a:solidFill>
                    <a:latin typeface="Arial"/>
                    <a:ea typeface="Arial"/>
                    <a:cs typeface="Arial"/>
                  </a:defRPr>
                </a:pPr>
                <a:endParaRPr lang="es-MX"/>
              </a:p>
            </c:txPr>
            <c:dLblPos val="t"/>
            <c:showLegendKey val="0"/>
            <c:showVal val="1"/>
            <c:showCatName val="0"/>
            <c:showSerName val="0"/>
            <c:showPercent val="0"/>
            <c:showBubbleSize val="0"/>
            <c:showLeaderLines val="0"/>
          </c:dLbls>
          <c:cat>
            <c:strRef>
              <c:f>'DATOS Y GRÁFICO'!$A$4:$A$15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'DATOS Y GRÁFICO'!$B$4:$B$15</c:f>
              <c:numCache>
                <c:formatCode>#,##0</c:formatCode>
                <c:ptCount val="12"/>
                <c:pt idx="0">
                  <c:v>128116</c:v>
                </c:pt>
                <c:pt idx="1">
                  <c:v>128777</c:v>
                </c:pt>
                <c:pt idx="2">
                  <c:v>128435</c:v>
                </c:pt>
                <c:pt idx="3">
                  <c:v>127537</c:v>
                </c:pt>
                <c:pt idx="4">
                  <c:v>127788</c:v>
                </c:pt>
                <c:pt idx="5">
                  <c:v>129752</c:v>
                </c:pt>
                <c:pt idx="6">
                  <c:v>126335</c:v>
                </c:pt>
                <c:pt idx="7">
                  <c:v>122479</c:v>
                </c:pt>
                <c:pt idx="8">
                  <c:v>126294</c:v>
                </c:pt>
                <c:pt idx="9">
                  <c:v>128941</c:v>
                </c:pt>
                <c:pt idx="10">
                  <c:v>131856</c:v>
                </c:pt>
                <c:pt idx="11">
                  <c:v>130439</c:v>
                </c:pt>
              </c:numCache>
            </c:numRef>
          </c:val>
          <c:smooth val="0"/>
        </c:ser>
        <c:dLbls>
          <c:showLegendKey val="0"/>
          <c:showVal val="1"/>
          <c:showCatName val="0"/>
          <c:showSerName val="0"/>
          <c:showPercent val="0"/>
          <c:showBubbleSize val="0"/>
        </c:dLbls>
        <c:marker val="1"/>
        <c:smooth val="0"/>
        <c:axId val="296244352"/>
        <c:axId val="296259584"/>
      </c:lineChart>
      <c:catAx>
        <c:axId val="296244352"/>
        <c:scaling>
          <c:orientation val="minMax"/>
        </c:scaling>
        <c:delete val="0"/>
        <c:axPos val="b"/>
        <c:numFmt formatCode="General" sourceLinked="1"/>
        <c:majorTickMark val="in"/>
        <c:minorTickMark val="in"/>
        <c:tickLblPos val="nextTo"/>
        <c:spPr>
          <a:ln w="3175">
            <a:solidFill>
              <a:srgbClr val="000080"/>
            </a:solidFill>
            <a:prstDash val="solid"/>
          </a:ln>
        </c:spPr>
        <c:txPr>
          <a:bodyPr rot="-2700000" vert="horz"/>
          <a:lstStyle/>
          <a:p>
            <a:pPr>
              <a:defRPr sz="800" b="0" i="0" u="none" strike="noStrike" baseline="0">
                <a:solidFill>
                  <a:srgbClr val="000000"/>
                </a:solidFill>
                <a:latin typeface="Arial"/>
                <a:ea typeface="Arial"/>
                <a:cs typeface="Arial"/>
              </a:defRPr>
            </a:pPr>
            <a:endParaRPr lang="es-MX"/>
          </a:p>
        </c:txPr>
        <c:crossAx val="296259584"/>
        <c:crosses val="autoZero"/>
        <c:auto val="1"/>
        <c:lblAlgn val="ctr"/>
        <c:lblOffset val="100"/>
        <c:tickLblSkip val="1"/>
        <c:tickMarkSkip val="1"/>
        <c:noMultiLvlLbl val="0"/>
      </c:catAx>
      <c:valAx>
        <c:axId val="296259584"/>
        <c:scaling>
          <c:orientation val="minMax"/>
          <c:min val="120000"/>
        </c:scaling>
        <c:delete val="0"/>
        <c:axPos val="l"/>
        <c:numFmt formatCode="#,##0" sourceLinked="1"/>
        <c:majorTickMark val="out"/>
        <c:minorTickMark val="none"/>
        <c:tickLblPos val="nextTo"/>
        <c:spPr>
          <a:ln w="3175">
            <a:solidFill>
              <a:srgbClr val="000080"/>
            </a:solidFill>
            <a:prstDash val="solid"/>
          </a:ln>
        </c:spPr>
        <c:txPr>
          <a:bodyPr rot="0" vert="horz"/>
          <a:lstStyle/>
          <a:p>
            <a:pPr>
              <a:defRPr sz="800" b="0" i="0" u="none" strike="noStrike" baseline="0">
                <a:solidFill>
                  <a:srgbClr val="000000"/>
                </a:solidFill>
                <a:latin typeface="Arial"/>
                <a:ea typeface="Arial"/>
                <a:cs typeface="Arial"/>
              </a:defRPr>
            </a:pPr>
            <a:endParaRPr lang="es-MX"/>
          </a:p>
        </c:txPr>
        <c:crossAx val="296244352"/>
        <c:crosses val="autoZero"/>
        <c:crossBetween val="between"/>
        <c:majorUnit val="1000"/>
      </c:valAx>
      <c:spPr>
        <a:noFill/>
        <a:ln w="25400">
          <a:noFill/>
        </a:ln>
      </c:spPr>
    </c:plotArea>
    <c:plotVisOnly val="1"/>
    <c:dispBlanksAs val="gap"/>
    <c:showDLblsOverMax val="0"/>
  </c:chart>
  <c:spPr>
    <a:solidFill>
      <a:srgbClr val="FFFFFF"/>
    </a:solidFill>
    <a:ln w="38100">
      <a:solidFill>
        <a:srgbClr val="000080"/>
      </a:solidFill>
      <a:prstDash val="solid"/>
    </a:ln>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7CFD-5F7A-48A0-A09C-FB625EED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6014</Words>
  <Characters>33080</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39016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cp:revision>
  <cp:lastPrinted>2016-04-07T00:11:00Z</cp:lastPrinted>
  <dcterms:created xsi:type="dcterms:W3CDTF">2016-04-08T21:05:00Z</dcterms:created>
  <dcterms:modified xsi:type="dcterms:W3CDTF">2016-04-08T21:08:00Z</dcterms:modified>
</cp:coreProperties>
</file>