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815" w:rsidRDefault="00B83815" w:rsidP="00B83815">
      <w:pPr>
        <w:pStyle w:val="Prrafodelista"/>
        <w:spacing w:line="360" w:lineRule="auto"/>
        <w:ind w:left="426"/>
        <w:jc w:val="center"/>
        <w:rPr>
          <w:rFonts w:ascii="Arial Narrow" w:hAnsi="Arial Narrow"/>
          <w:sz w:val="96"/>
          <w:szCs w:val="96"/>
        </w:rPr>
      </w:pPr>
    </w:p>
    <w:p w:rsidR="00B83815" w:rsidRDefault="00B83815" w:rsidP="00B83815">
      <w:pPr>
        <w:pStyle w:val="Prrafodelista"/>
        <w:spacing w:line="360" w:lineRule="auto"/>
        <w:ind w:left="426"/>
        <w:jc w:val="center"/>
        <w:rPr>
          <w:rFonts w:ascii="Arial Narrow" w:hAnsi="Arial Narrow"/>
          <w:sz w:val="96"/>
          <w:szCs w:val="96"/>
        </w:rPr>
      </w:pPr>
    </w:p>
    <w:p w:rsidR="00B83815" w:rsidRPr="00992D26" w:rsidRDefault="00B83815" w:rsidP="00B83815">
      <w:pPr>
        <w:pStyle w:val="Prrafodelista"/>
        <w:spacing w:line="360" w:lineRule="auto"/>
        <w:ind w:left="426"/>
        <w:jc w:val="center"/>
        <w:rPr>
          <w:rFonts w:ascii="Arial Narrow" w:hAnsi="Arial Narrow"/>
          <w:sz w:val="72"/>
          <w:szCs w:val="72"/>
        </w:rPr>
      </w:pPr>
      <w:r w:rsidRPr="00992D26">
        <w:rPr>
          <w:rFonts w:ascii="Arial Narrow" w:hAnsi="Arial Narrow"/>
          <w:sz w:val="72"/>
          <w:szCs w:val="72"/>
        </w:rPr>
        <w:t>ANÁLISIS CUALITATIVO DE LOS INDICADORES DE LA POSTURA FISCAL</w:t>
      </w:r>
    </w:p>
    <w:p w:rsidR="00B83815" w:rsidRPr="00992D26" w:rsidRDefault="00B83815" w:rsidP="00B83815">
      <w:pPr>
        <w:pStyle w:val="Sangradetextonormal"/>
        <w:ind w:left="1428" w:firstLine="0"/>
        <w:rPr>
          <w:rFonts w:ascii="Arial Narrow" w:hAnsi="Arial Narrow"/>
          <w:sz w:val="25"/>
        </w:rPr>
      </w:pPr>
    </w:p>
    <w:p w:rsidR="00B83815" w:rsidRPr="00992D26" w:rsidRDefault="00B83815" w:rsidP="00B83815">
      <w:pPr>
        <w:pStyle w:val="Sangradetextonormal"/>
        <w:ind w:left="1428" w:firstLine="0"/>
        <w:rPr>
          <w:rFonts w:ascii="Arial Narrow" w:hAnsi="Arial Narrow"/>
          <w:sz w:val="25"/>
        </w:rPr>
      </w:pPr>
    </w:p>
    <w:p w:rsidR="00B83815" w:rsidRPr="00992D26" w:rsidRDefault="00B83815" w:rsidP="00B83815">
      <w:pPr>
        <w:pStyle w:val="Sangradetextonormal"/>
        <w:ind w:left="1428" w:firstLine="0"/>
        <w:rPr>
          <w:rFonts w:ascii="Arial Narrow" w:hAnsi="Arial Narrow"/>
          <w:sz w:val="25"/>
        </w:rPr>
      </w:pPr>
    </w:p>
    <w:p w:rsidR="00B83815" w:rsidRPr="00992D26" w:rsidRDefault="00B83815" w:rsidP="00B83815">
      <w:pPr>
        <w:pStyle w:val="Sangradetextonormal"/>
        <w:ind w:left="1428" w:firstLine="0"/>
        <w:rPr>
          <w:rFonts w:ascii="Arial Narrow" w:hAnsi="Arial Narrow"/>
          <w:sz w:val="25"/>
        </w:rPr>
      </w:pPr>
    </w:p>
    <w:p w:rsidR="00B83815" w:rsidRPr="00992D26" w:rsidRDefault="00B83815" w:rsidP="00B83815">
      <w:pPr>
        <w:pStyle w:val="Sangradetextonormal"/>
        <w:ind w:left="1428" w:firstLine="0"/>
        <w:rPr>
          <w:rFonts w:ascii="Arial Narrow" w:hAnsi="Arial Narrow"/>
          <w:sz w:val="25"/>
        </w:rPr>
      </w:pPr>
    </w:p>
    <w:p w:rsidR="00B83815" w:rsidRPr="00992D26" w:rsidRDefault="00B83815" w:rsidP="00B83815">
      <w:pPr>
        <w:pStyle w:val="Sangradetextonormal"/>
        <w:ind w:left="1428" w:firstLine="0"/>
        <w:rPr>
          <w:rFonts w:ascii="Arial Narrow" w:hAnsi="Arial Narrow"/>
          <w:sz w:val="25"/>
        </w:rPr>
      </w:pPr>
    </w:p>
    <w:p w:rsidR="00B83815" w:rsidRPr="00992D26" w:rsidRDefault="00B83815" w:rsidP="00B83815">
      <w:pPr>
        <w:pStyle w:val="Sangradetextonormal"/>
        <w:ind w:left="1428" w:firstLine="0"/>
        <w:rPr>
          <w:rFonts w:ascii="Arial Narrow" w:hAnsi="Arial Narrow"/>
          <w:sz w:val="25"/>
        </w:rPr>
      </w:pPr>
    </w:p>
    <w:p w:rsidR="00B83815" w:rsidRPr="00992D26" w:rsidRDefault="00B83815" w:rsidP="00B83815">
      <w:pPr>
        <w:pStyle w:val="Sangradetextonormal"/>
        <w:ind w:left="1428" w:firstLine="0"/>
        <w:rPr>
          <w:rFonts w:ascii="Arial Narrow" w:hAnsi="Arial Narrow"/>
          <w:sz w:val="25"/>
        </w:rPr>
      </w:pPr>
    </w:p>
    <w:p w:rsidR="00B83815" w:rsidRPr="00992D26" w:rsidRDefault="00B83815" w:rsidP="00B83815">
      <w:pPr>
        <w:pStyle w:val="Sangradetextonormal"/>
        <w:ind w:firstLine="0"/>
        <w:jc w:val="left"/>
        <w:rPr>
          <w:rFonts w:ascii="Arial Narrow" w:hAnsi="Arial Narrow"/>
          <w:b/>
          <w:bCs/>
          <w:sz w:val="32"/>
        </w:rPr>
      </w:pPr>
    </w:p>
    <w:p w:rsidR="00B83815" w:rsidRPr="00992D26" w:rsidRDefault="00B83815" w:rsidP="00B83815">
      <w:pPr>
        <w:pStyle w:val="Sangradetextonormal"/>
        <w:ind w:firstLine="0"/>
        <w:jc w:val="left"/>
        <w:rPr>
          <w:rFonts w:ascii="Arial Narrow" w:hAnsi="Arial Narrow"/>
          <w:b/>
          <w:bCs/>
          <w:szCs w:val="28"/>
        </w:rPr>
      </w:pPr>
      <w:r w:rsidRPr="00992D26">
        <w:rPr>
          <w:rFonts w:ascii="Arial Narrow" w:hAnsi="Arial Narrow"/>
          <w:b/>
          <w:bCs/>
          <w:szCs w:val="28"/>
        </w:rPr>
        <w:lastRenderedPageBreak/>
        <w:t>2.- ANÁLISIS CUALITATIVO DE LOS INDICADORES DE LA POSTURA FISCAL</w:t>
      </w:r>
    </w:p>
    <w:p w:rsidR="00B83815" w:rsidRPr="00992D26" w:rsidRDefault="00B83815" w:rsidP="00B83815">
      <w:pPr>
        <w:pStyle w:val="Sangradetextonormal"/>
        <w:spacing w:line="240" w:lineRule="auto"/>
        <w:ind w:firstLine="0"/>
        <w:jc w:val="left"/>
        <w:rPr>
          <w:rFonts w:ascii="Arial Narrow" w:hAnsi="Arial Narrow"/>
          <w:b/>
          <w:bCs/>
          <w:szCs w:val="28"/>
        </w:rPr>
      </w:pPr>
    </w:p>
    <w:p w:rsidR="00B83815" w:rsidRPr="00992D26" w:rsidRDefault="00B83815" w:rsidP="00B83815">
      <w:pPr>
        <w:pStyle w:val="Sangradetextonormal"/>
        <w:ind w:firstLine="0"/>
        <w:jc w:val="left"/>
        <w:rPr>
          <w:rFonts w:ascii="Arial Narrow" w:hAnsi="Arial Narrow"/>
          <w:b/>
          <w:bCs/>
          <w:szCs w:val="28"/>
        </w:rPr>
      </w:pPr>
      <w:r w:rsidRPr="00992D26">
        <w:rPr>
          <w:rFonts w:ascii="Arial Narrow" w:hAnsi="Arial Narrow"/>
          <w:b/>
          <w:bCs/>
          <w:szCs w:val="28"/>
        </w:rPr>
        <w:t>2.1.- PANORAMA ECONÓMICO Y POSTURA FISCAL</w:t>
      </w: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2"/>
          <w:szCs w:val="22"/>
        </w:rPr>
      </w:pPr>
      <w:r w:rsidRPr="00992D26">
        <w:rPr>
          <w:rFonts w:ascii="Arial Narrow" w:hAnsi="Arial Narrow"/>
          <w:sz w:val="22"/>
          <w:szCs w:val="22"/>
        </w:rPr>
        <w:t>En esta sección se presenta un análisis del comportamiento de las finanzas públicas federales y locales, que refleja en forma sucinta y clara la situación general de la economía durante el ejercicio 2015, tanto a nivel nacional como estatal.</w:t>
      </w:r>
    </w:p>
    <w:p w:rsidR="00B83815" w:rsidRPr="00992D26" w:rsidRDefault="00B83815" w:rsidP="00B83815">
      <w:pPr>
        <w:pStyle w:val="Sangradetextonormal"/>
        <w:rPr>
          <w:rFonts w:ascii="Arial Narrow" w:hAnsi="Arial Narrow"/>
          <w:sz w:val="22"/>
          <w:szCs w:val="22"/>
        </w:rPr>
      </w:pPr>
    </w:p>
    <w:p w:rsidR="00B83815" w:rsidRPr="00992D26" w:rsidRDefault="00B83815" w:rsidP="00B83815">
      <w:pPr>
        <w:pStyle w:val="Sangradetextonormal"/>
        <w:rPr>
          <w:rFonts w:ascii="Arial Narrow" w:hAnsi="Arial Narrow"/>
          <w:sz w:val="22"/>
          <w:szCs w:val="22"/>
        </w:rPr>
      </w:pPr>
      <w:r w:rsidRPr="00992D26">
        <w:rPr>
          <w:rFonts w:ascii="Arial Narrow" w:hAnsi="Arial Narrow"/>
          <w:sz w:val="22"/>
          <w:szCs w:val="22"/>
        </w:rPr>
        <w:t>Al respecto, se enlistan los objetivos, estrategias y metas de la política económica, continuando con una descripción de la evolución de las principales variables económicas: el producto interno bruto nacional, estatal y por sectores, empleo, inflación, tasas de interés, importaciones y exportaciones, entre otras.</w:t>
      </w:r>
    </w:p>
    <w:p w:rsidR="00B83815" w:rsidRPr="00992D26" w:rsidRDefault="00B83815" w:rsidP="00B83815">
      <w:pPr>
        <w:pStyle w:val="Sangradetextonormal"/>
        <w:rPr>
          <w:rFonts w:ascii="Arial Narrow" w:hAnsi="Arial Narrow"/>
          <w:sz w:val="22"/>
          <w:szCs w:val="22"/>
        </w:rPr>
      </w:pPr>
    </w:p>
    <w:p w:rsidR="00B83815" w:rsidRPr="00992D26" w:rsidRDefault="00B83815" w:rsidP="00B83815">
      <w:pPr>
        <w:pStyle w:val="Sangradetextonormal"/>
        <w:rPr>
          <w:rFonts w:ascii="Arial Narrow" w:hAnsi="Arial Narrow"/>
          <w:sz w:val="22"/>
          <w:szCs w:val="22"/>
        </w:rPr>
      </w:pPr>
      <w:r w:rsidRPr="00992D26">
        <w:rPr>
          <w:rFonts w:ascii="Arial Narrow" w:hAnsi="Arial Narrow"/>
          <w:sz w:val="22"/>
          <w:szCs w:val="22"/>
        </w:rPr>
        <w:t>Así mismo, se señalan los objetivos, estrategias y metas de la política fiscal, así como las líneas de acción para el ejercicio que nos ocupa, reportando finalmente los resultados generales de las finanzas públicas federales y locales.</w:t>
      </w: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ind w:firstLine="0"/>
        <w:jc w:val="left"/>
        <w:rPr>
          <w:rFonts w:ascii="Arial Narrow" w:hAnsi="Arial Narrow"/>
          <w:b/>
          <w:bCs/>
          <w:szCs w:val="28"/>
        </w:rPr>
      </w:pPr>
      <w:r w:rsidRPr="00992D26">
        <w:rPr>
          <w:rFonts w:ascii="Arial Narrow" w:hAnsi="Arial Narrow"/>
          <w:b/>
          <w:bCs/>
          <w:szCs w:val="28"/>
        </w:rPr>
        <w:t>2.1.1.- Ámbito Federal</w:t>
      </w: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rPr>
          <w:rFonts w:ascii="Arial Narrow" w:hAnsi="Arial Narrow"/>
          <w:sz w:val="22"/>
          <w:szCs w:val="22"/>
        </w:rPr>
      </w:pPr>
      <w:r w:rsidRPr="00992D26">
        <w:rPr>
          <w:rFonts w:ascii="Arial Narrow" w:hAnsi="Arial Narrow"/>
          <w:sz w:val="22"/>
          <w:szCs w:val="22"/>
        </w:rPr>
        <w:t xml:space="preserve">Los Criterios Generales de Política Económica para 2015 fueron emitidos por el Gobierno Federal teniendo previsto un entorno económico externo con signos de una recuperación moderada, pero que también presentaba algunos riesgos asociados a una posible mayor volatilidad de los mercados financieros y en el precio de algunas materias primas, destacando que durante el año anterior (2014) la actividad económica global experimentó un nivel de crecimiento que estuvo por debajo de las expectativas, notándose un bajo crecimiento de las economías avanzadas que impactó negativamente en el desempeño de las economías emergentes. </w:t>
      </w:r>
    </w:p>
    <w:p w:rsidR="00B83815" w:rsidRPr="00992D26" w:rsidRDefault="00B83815" w:rsidP="00B83815">
      <w:pPr>
        <w:pStyle w:val="Sangradetextonormal"/>
        <w:rPr>
          <w:rFonts w:ascii="Arial Narrow" w:hAnsi="Arial Narrow"/>
          <w:sz w:val="22"/>
          <w:szCs w:val="22"/>
        </w:rPr>
      </w:pPr>
    </w:p>
    <w:p w:rsidR="00B83815" w:rsidRPr="00992D26" w:rsidRDefault="00B83815" w:rsidP="00B83815">
      <w:pPr>
        <w:pStyle w:val="Sangradetextonormal"/>
        <w:rPr>
          <w:rFonts w:ascii="Arial Narrow" w:hAnsi="Arial Narrow"/>
          <w:sz w:val="22"/>
          <w:szCs w:val="22"/>
        </w:rPr>
      </w:pPr>
      <w:r w:rsidRPr="00992D26">
        <w:rPr>
          <w:rFonts w:ascii="Arial Narrow" w:hAnsi="Arial Narrow"/>
          <w:sz w:val="22"/>
          <w:szCs w:val="22"/>
        </w:rPr>
        <w:t xml:space="preserve">No obstante lo descrito, se señaló un entorno externo alentador para 2015, estimándose que la actividad económica en los países avanzados sería el principal motor de crecimiento global, subrayándose una </w:t>
      </w:r>
      <w:r w:rsidRPr="00992D26">
        <w:rPr>
          <w:rFonts w:ascii="Arial Narrow" w:hAnsi="Arial Narrow"/>
          <w:sz w:val="22"/>
          <w:szCs w:val="22"/>
        </w:rPr>
        <w:lastRenderedPageBreak/>
        <w:t>situación favorable en el caso de México en virtud de su interconexión con los Estados Unidos de América, por sus sólidos fundamentos macroeconómicos, así como por haberse distinguido en el mundo por haber logrado el consenso político para llevar a cabo una agenda de profundas reformas estructurales que le permitirán incrementar su crecimiento de manera sostenida.</w:t>
      </w:r>
    </w:p>
    <w:p w:rsidR="00B83815" w:rsidRPr="00992D26" w:rsidRDefault="00B83815" w:rsidP="00B83815">
      <w:pPr>
        <w:pStyle w:val="Sangradetextonormal"/>
        <w:rPr>
          <w:rFonts w:ascii="Arial Narrow" w:hAnsi="Arial Narrow"/>
          <w:sz w:val="22"/>
          <w:szCs w:val="22"/>
        </w:rPr>
      </w:pPr>
    </w:p>
    <w:p w:rsidR="00B83815" w:rsidRPr="00992D26" w:rsidRDefault="00B83815" w:rsidP="00B83815">
      <w:pPr>
        <w:pStyle w:val="Sangradetextonormal"/>
        <w:rPr>
          <w:rFonts w:ascii="Arial Narrow" w:hAnsi="Arial Narrow"/>
          <w:sz w:val="22"/>
          <w:szCs w:val="22"/>
        </w:rPr>
      </w:pPr>
      <w:r w:rsidRPr="00992D26">
        <w:rPr>
          <w:rFonts w:ascii="Arial Narrow" w:hAnsi="Arial Narrow"/>
          <w:sz w:val="22"/>
          <w:szCs w:val="22"/>
        </w:rPr>
        <w:t>En este sentido, se pronosticó el aceleramiento de las exportaciones no petroleras de nuestro país, lo que se traduciría en una mayor producción de manufacturas y el acrecentamiento de los servicios más relacionados con el comercio exterior, proyectándose, por otro lado, un fortalecimiento de la demanda interna que se vería impulsada por el crecimiento del empleo formal y del crédito a las empresas y hogares, así como por un aumento en la inversión pública y en el salario real, estimándose además una expansión en los sectores de la construcción y los servicios menos conectados con el sector externo.</w:t>
      </w:r>
    </w:p>
    <w:p w:rsidR="00B83815" w:rsidRPr="00992D26"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Cs w:val="28"/>
        </w:rPr>
      </w:pPr>
      <w:r w:rsidRPr="00992D26">
        <w:rPr>
          <w:rFonts w:ascii="Arial Narrow" w:hAnsi="Arial Narrow"/>
          <w:b/>
          <w:bCs/>
          <w:szCs w:val="28"/>
        </w:rPr>
        <w:t>2.1.1.1- Política Económica</w:t>
      </w:r>
    </w:p>
    <w:p w:rsidR="00B83815" w:rsidRPr="00992D26" w:rsidRDefault="00B83815" w:rsidP="00B83815">
      <w:pPr>
        <w:pStyle w:val="Sangradetextonormal"/>
        <w:spacing w:line="240" w:lineRule="exact"/>
        <w:ind w:firstLine="0"/>
        <w:jc w:val="left"/>
        <w:rPr>
          <w:rFonts w:ascii="Arial Narrow" w:hAnsi="Arial Narrow"/>
          <w:b/>
          <w:bCs/>
          <w:szCs w:val="28"/>
        </w:rPr>
      </w:pPr>
    </w:p>
    <w:p w:rsidR="00B83815" w:rsidRPr="00992D26" w:rsidRDefault="00B83815" w:rsidP="00B83815">
      <w:pPr>
        <w:pStyle w:val="Sangradetextonormal"/>
        <w:numPr>
          <w:ilvl w:val="0"/>
          <w:numId w:val="6"/>
        </w:numPr>
        <w:tabs>
          <w:tab w:val="clear" w:pos="1068"/>
          <w:tab w:val="num" w:pos="720"/>
        </w:tabs>
        <w:ind w:hanging="708"/>
        <w:jc w:val="left"/>
        <w:rPr>
          <w:rFonts w:ascii="Arial Narrow" w:hAnsi="Arial Narrow"/>
          <w:b/>
          <w:bCs/>
          <w:szCs w:val="28"/>
        </w:rPr>
      </w:pPr>
      <w:r w:rsidRPr="00992D26">
        <w:rPr>
          <w:rFonts w:ascii="Arial Narrow" w:hAnsi="Arial Narrow"/>
          <w:b/>
          <w:bCs/>
          <w:szCs w:val="28"/>
        </w:rPr>
        <w:t>Objetivos</w:t>
      </w:r>
    </w:p>
    <w:p w:rsidR="00B83815" w:rsidRPr="00992D26" w:rsidRDefault="00B83815" w:rsidP="00B83815">
      <w:pPr>
        <w:pStyle w:val="Sangradetextonormal"/>
        <w:spacing w:line="240" w:lineRule="exact"/>
        <w:ind w:firstLine="0"/>
        <w:jc w:val="left"/>
        <w:rPr>
          <w:rFonts w:ascii="Arial Narrow" w:hAnsi="Arial Narrow"/>
          <w:b/>
          <w:bCs/>
          <w:sz w:val="32"/>
          <w:szCs w:val="32"/>
        </w:rPr>
      </w:pPr>
    </w:p>
    <w:p w:rsidR="00B83815" w:rsidRPr="00992D26" w:rsidRDefault="00B83815" w:rsidP="00B83815">
      <w:pPr>
        <w:pStyle w:val="Sangradetextonormal"/>
        <w:rPr>
          <w:rFonts w:ascii="Arial Narrow" w:hAnsi="Arial Narrow"/>
          <w:sz w:val="22"/>
          <w:szCs w:val="22"/>
        </w:rPr>
      </w:pPr>
      <w:r w:rsidRPr="00992D26">
        <w:rPr>
          <w:rFonts w:ascii="Arial Narrow" w:hAnsi="Arial Narrow"/>
          <w:sz w:val="22"/>
          <w:szCs w:val="22"/>
        </w:rPr>
        <w:t xml:space="preserve">La Administración encabezada por el Titular del Poder Ejecutivo Federal está comprometida con preservar y fortalecer la solidez estructural de la hacienda pública nacional, buscando el logro de un mayor nivel de crecimiento económico a partir de una agenda de cambio estructural y de medidas específicas que apuntalen dicho crecimiento, subrayando el compromiso que se tiene actualmente con la estabilidad macroeconómica, como prerrequisito fundamental para el desarrollo nacional y el incremento en el bienestar de las familias. </w:t>
      </w:r>
    </w:p>
    <w:p w:rsidR="00B83815" w:rsidRPr="00992D26" w:rsidRDefault="00B83815" w:rsidP="00B83815">
      <w:pPr>
        <w:pStyle w:val="Sangradetextonormal"/>
        <w:spacing w:line="240" w:lineRule="exact"/>
        <w:rPr>
          <w:rFonts w:ascii="Arial Narrow" w:hAnsi="Arial Narrow"/>
          <w:sz w:val="22"/>
          <w:szCs w:val="22"/>
        </w:rPr>
      </w:pPr>
    </w:p>
    <w:p w:rsidR="00B83815" w:rsidRPr="00992D26" w:rsidRDefault="00B83815" w:rsidP="00B83815">
      <w:pPr>
        <w:pStyle w:val="Sangradetextonormal"/>
        <w:rPr>
          <w:rFonts w:ascii="Arial Narrow" w:hAnsi="Arial Narrow"/>
          <w:sz w:val="22"/>
          <w:szCs w:val="22"/>
        </w:rPr>
      </w:pPr>
      <w:r w:rsidRPr="00992D26">
        <w:rPr>
          <w:rFonts w:ascii="Arial Narrow" w:hAnsi="Arial Narrow"/>
          <w:sz w:val="22"/>
          <w:szCs w:val="22"/>
        </w:rPr>
        <w:t>En este sentido, en la formulación del Paquete Económico correspondiente al Ejercicio Fiscal 2015, la Secretaría de Hacienda y Crédito Público (SHCP) sostuvo que se busca dinamizar la actividad económica, apoyar a la población más vulnerable y acelerar la implementación de las reformas estructurales, con el propósito fundamental de incrementar el indicador más importante que debe tener la política económica: un mayor bienestar para las familias mexicanas.</w:t>
      </w:r>
    </w:p>
    <w:p w:rsidR="00B83815" w:rsidRPr="00992D26" w:rsidRDefault="00B83815" w:rsidP="00B83815">
      <w:pPr>
        <w:pStyle w:val="Sangradetextonormal"/>
        <w:spacing w:line="240" w:lineRule="exact"/>
        <w:rPr>
          <w:rFonts w:ascii="Arial Narrow" w:hAnsi="Arial Narrow"/>
          <w:b/>
          <w:bCs/>
          <w:sz w:val="32"/>
          <w:szCs w:val="32"/>
        </w:rPr>
      </w:pPr>
    </w:p>
    <w:p w:rsidR="00B83815" w:rsidRPr="00992D26" w:rsidRDefault="00B83815" w:rsidP="00B83815">
      <w:pPr>
        <w:pStyle w:val="Sangradetextonormal"/>
        <w:numPr>
          <w:ilvl w:val="0"/>
          <w:numId w:val="6"/>
        </w:numPr>
        <w:tabs>
          <w:tab w:val="clear" w:pos="1068"/>
          <w:tab w:val="num" w:pos="720"/>
        </w:tabs>
        <w:ind w:hanging="708"/>
        <w:jc w:val="left"/>
        <w:rPr>
          <w:rFonts w:ascii="Arial Narrow" w:hAnsi="Arial Narrow"/>
          <w:b/>
          <w:bCs/>
          <w:szCs w:val="28"/>
        </w:rPr>
      </w:pPr>
      <w:r w:rsidRPr="00992D26">
        <w:rPr>
          <w:rFonts w:ascii="Arial Narrow" w:hAnsi="Arial Narrow"/>
          <w:b/>
          <w:bCs/>
          <w:szCs w:val="28"/>
        </w:rPr>
        <w:lastRenderedPageBreak/>
        <w:t>Estrategias</w:t>
      </w:r>
    </w:p>
    <w:p w:rsidR="00B83815" w:rsidRPr="00992D26" w:rsidRDefault="00B83815" w:rsidP="00B83815">
      <w:pPr>
        <w:pStyle w:val="Sangradetextonormal"/>
        <w:spacing w:line="240" w:lineRule="exact"/>
        <w:ind w:firstLine="0"/>
        <w:jc w:val="left"/>
        <w:rPr>
          <w:rFonts w:ascii="Arial Narrow" w:hAnsi="Arial Narrow"/>
          <w:b/>
          <w:bCs/>
          <w:sz w:val="32"/>
          <w:szCs w:val="32"/>
        </w:rPr>
      </w:pPr>
    </w:p>
    <w:p w:rsidR="00B83815" w:rsidRPr="00992D26" w:rsidRDefault="00B83815" w:rsidP="00B83815">
      <w:pPr>
        <w:pStyle w:val="Sangradetextonormal"/>
        <w:rPr>
          <w:rFonts w:ascii="Arial Narrow" w:hAnsi="Arial Narrow"/>
          <w:sz w:val="22"/>
          <w:szCs w:val="22"/>
        </w:rPr>
      </w:pPr>
      <w:r w:rsidRPr="00992D26">
        <w:rPr>
          <w:rFonts w:ascii="Arial Narrow" w:hAnsi="Arial Narrow"/>
          <w:sz w:val="22"/>
          <w:szCs w:val="22"/>
        </w:rPr>
        <w:t>Las estrategias implementadas por el Ejecutivo Federal en la materia, están orientadas a fortalecer los ingresos públicos de los tres órdenes de gobierno (federal, estatal y municipal), buscando que a través de la Reforma Hacendaria se resuelvan los retos y problemas que enfrenta nuestro país en cuanto al nivel reducido de ingresos públicos que ha limitado la capacidad de gasto del gobierno para atender las necesidades prioritarias de la población en áreas estratégicas como la seguridad social, salud, inversión e infraestructura, investigación y desarrollo, y seguridad pública; por lo que dicha reforma pretende contribuir a su solución a través de los siguientes objetivos estratégicos:</w:t>
      </w:r>
    </w:p>
    <w:p w:rsidR="00B83815" w:rsidRPr="00992D26" w:rsidRDefault="00B83815" w:rsidP="00B83815">
      <w:pPr>
        <w:pStyle w:val="Sangradetextonormal"/>
        <w:rPr>
          <w:rFonts w:ascii="Arial Narrow" w:hAnsi="Arial Narrow"/>
          <w:sz w:val="22"/>
          <w:szCs w:val="22"/>
        </w:rPr>
      </w:pPr>
    </w:p>
    <w:p w:rsidR="00B83815" w:rsidRPr="00992D26" w:rsidRDefault="00B83815" w:rsidP="00B83815">
      <w:pPr>
        <w:pStyle w:val="Sangradetextonormal"/>
        <w:numPr>
          <w:ilvl w:val="0"/>
          <w:numId w:val="26"/>
        </w:numPr>
        <w:ind w:left="993" w:hanging="284"/>
        <w:rPr>
          <w:rFonts w:ascii="Arial Narrow" w:hAnsi="Arial Narrow"/>
          <w:sz w:val="22"/>
          <w:szCs w:val="22"/>
        </w:rPr>
      </w:pPr>
      <w:r w:rsidRPr="00992D26">
        <w:rPr>
          <w:rFonts w:ascii="Arial Narrow" w:hAnsi="Arial Narrow"/>
          <w:sz w:val="22"/>
          <w:szCs w:val="22"/>
        </w:rPr>
        <w:t>Aumentar la capacidad financiera del Estado, incrementando la disponibilidad de recursos para que el Estado pueda atender las necesidades prioritarias de la población.</w:t>
      </w:r>
    </w:p>
    <w:p w:rsidR="00B83815" w:rsidRPr="00992D26" w:rsidRDefault="00B83815" w:rsidP="00B83815">
      <w:pPr>
        <w:pStyle w:val="Sangradetextonormal"/>
        <w:numPr>
          <w:ilvl w:val="0"/>
          <w:numId w:val="26"/>
        </w:numPr>
        <w:ind w:left="993" w:hanging="284"/>
        <w:rPr>
          <w:rFonts w:ascii="Arial Narrow" w:hAnsi="Arial Narrow"/>
          <w:sz w:val="22"/>
          <w:szCs w:val="22"/>
        </w:rPr>
      </w:pPr>
      <w:r w:rsidRPr="00992D26">
        <w:rPr>
          <w:rFonts w:ascii="Arial Narrow" w:hAnsi="Arial Narrow"/>
          <w:sz w:val="22"/>
          <w:szCs w:val="22"/>
        </w:rPr>
        <w:t>Mejorar la equidad</w:t>
      </w:r>
      <w:r>
        <w:rPr>
          <w:rFonts w:ascii="Arial Narrow" w:hAnsi="Arial Narrow"/>
          <w:sz w:val="22"/>
          <w:szCs w:val="22"/>
        </w:rPr>
        <w:t>,</w:t>
      </w:r>
      <w:r w:rsidRPr="00992D26">
        <w:rPr>
          <w:rFonts w:ascii="Arial Narrow" w:hAnsi="Arial Narrow"/>
          <w:sz w:val="22"/>
          <w:szCs w:val="22"/>
        </w:rPr>
        <w:t xml:space="preserve"> al garantizar que paguen más los que más tienen y eliminar privilegios.</w:t>
      </w:r>
    </w:p>
    <w:p w:rsidR="00B83815" w:rsidRPr="00992D26" w:rsidRDefault="00B83815" w:rsidP="00B83815">
      <w:pPr>
        <w:pStyle w:val="Sangradetextonormal"/>
        <w:numPr>
          <w:ilvl w:val="0"/>
          <w:numId w:val="26"/>
        </w:numPr>
        <w:ind w:left="993" w:hanging="284"/>
        <w:rPr>
          <w:rFonts w:ascii="Arial Narrow" w:hAnsi="Arial Narrow"/>
          <w:sz w:val="22"/>
          <w:szCs w:val="22"/>
        </w:rPr>
      </w:pPr>
      <w:r w:rsidRPr="00992D26">
        <w:rPr>
          <w:rFonts w:ascii="Arial Narrow" w:hAnsi="Arial Narrow"/>
          <w:sz w:val="22"/>
          <w:szCs w:val="22"/>
        </w:rPr>
        <w:t>Reducir la informalidad y la evasión fiscal, a través de mecanismos de formalización accesibles para todos y de nuevas reglas e incentivos, y sanciones para los que evadan su obligación.</w:t>
      </w:r>
    </w:p>
    <w:p w:rsidR="00B83815" w:rsidRPr="00992D26" w:rsidRDefault="00B83815" w:rsidP="00B83815">
      <w:pPr>
        <w:pStyle w:val="Sangradetextonormal"/>
        <w:numPr>
          <w:ilvl w:val="0"/>
          <w:numId w:val="26"/>
        </w:numPr>
        <w:ind w:left="993" w:hanging="284"/>
        <w:rPr>
          <w:rFonts w:ascii="Arial Narrow" w:hAnsi="Arial Narrow"/>
          <w:sz w:val="22"/>
          <w:szCs w:val="22"/>
        </w:rPr>
      </w:pPr>
      <w:r w:rsidRPr="00992D26">
        <w:rPr>
          <w:rFonts w:ascii="Arial Narrow" w:hAnsi="Arial Narrow"/>
          <w:sz w:val="22"/>
          <w:szCs w:val="22"/>
        </w:rPr>
        <w:t>Incluir mecanismos de control para transparentar y hacer más eficiente el gasto público, y promover la rendición de cuentas.</w:t>
      </w:r>
    </w:p>
    <w:p w:rsidR="00B83815" w:rsidRPr="00992D26" w:rsidRDefault="00B83815" w:rsidP="00B83815">
      <w:pPr>
        <w:pStyle w:val="Sangradetextonormal"/>
        <w:numPr>
          <w:ilvl w:val="0"/>
          <w:numId w:val="26"/>
        </w:numPr>
        <w:ind w:left="993" w:hanging="284"/>
        <w:rPr>
          <w:rFonts w:ascii="Arial Narrow" w:hAnsi="Arial Narrow"/>
          <w:sz w:val="22"/>
          <w:szCs w:val="22"/>
        </w:rPr>
      </w:pPr>
      <w:r w:rsidRPr="00992D26">
        <w:rPr>
          <w:rFonts w:ascii="Arial Narrow" w:hAnsi="Arial Narrow"/>
          <w:sz w:val="22"/>
          <w:szCs w:val="22"/>
        </w:rPr>
        <w:t>Crear impuestos con responsabilidad social para proteger la salud de la población y el medio ambiente.</w:t>
      </w:r>
    </w:p>
    <w:p w:rsidR="00B83815" w:rsidRPr="00992D26" w:rsidRDefault="00B83815" w:rsidP="00B83815">
      <w:pPr>
        <w:pStyle w:val="Sangradetextonormal"/>
        <w:numPr>
          <w:ilvl w:val="0"/>
          <w:numId w:val="26"/>
        </w:numPr>
        <w:ind w:left="993" w:hanging="284"/>
        <w:rPr>
          <w:rFonts w:ascii="Arial Narrow" w:hAnsi="Arial Narrow"/>
          <w:sz w:val="22"/>
          <w:szCs w:val="22"/>
        </w:rPr>
      </w:pPr>
      <w:r w:rsidRPr="00992D26">
        <w:rPr>
          <w:rFonts w:ascii="Arial Narrow" w:hAnsi="Arial Narrow"/>
          <w:sz w:val="22"/>
          <w:szCs w:val="22"/>
        </w:rPr>
        <w:t>Simplificar el pago de impuestos, con la eliminación de gravámenes y el uso de nuevas tecnologías para facilitar el cumplimiento fiscal.</w:t>
      </w:r>
    </w:p>
    <w:p w:rsidR="00B83815" w:rsidRPr="00992D26" w:rsidRDefault="00B83815" w:rsidP="00B83815">
      <w:pPr>
        <w:pStyle w:val="Sangradetextonormal"/>
        <w:spacing w:line="240" w:lineRule="exact"/>
        <w:rPr>
          <w:rFonts w:ascii="Arial Narrow" w:hAnsi="Arial Narrow"/>
          <w:sz w:val="22"/>
          <w:szCs w:val="22"/>
        </w:rPr>
      </w:pPr>
    </w:p>
    <w:p w:rsidR="00B83815" w:rsidRPr="00992D26" w:rsidRDefault="00B83815" w:rsidP="00B83815">
      <w:pPr>
        <w:pStyle w:val="Sangradetextonormal"/>
        <w:rPr>
          <w:rFonts w:ascii="Arial Narrow" w:hAnsi="Arial Narrow"/>
          <w:sz w:val="22"/>
          <w:szCs w:val="22"/>
        </w:rPr>
      </w:pPr>
      <w:r w:rsidRPr="00992D26">
        <w:rPr>
          <w:rFonts w:ascii="Arial Narrow" w:hAnsi="Arial Narrow"/>
          <w:sz w:val="22"/>
          <w:szCs w:val="22"/>
        </w:rPr>
        <w:t>En adición a lo anterior, el Gobi</w:t>
      </w:r>
      <w:r>
        <w:rPr>
          <w:rFonts w:ascii="Arial Narrow" w:hAnsi="Arial Narrow"/>
          <w:sz w:val="22"/>
          <w:szCs w:val="22"/>
        </w:rPr>
        <w:t xml:space="preserve">erno de la República aplicará por vez primera nuevas medidas de responsabilidad hacendaria aprobadas por el H. Congreso de la Unión consistentes en la incorporación de una meta sobre los requerimientos financieros del sector público en 2015, el establecimiento de metas para las Empresas Productivas del Estado, la fijación de un límite máximo de gasto corriente estructural, así como el diseño de medidas y mecanismos para el manejo de los ingresos excedentes y fondos de estabilización.  </w:t>
      </w:r>
    </w:p>
    <w:p w:rsidR="00B83815" w:rsidRPr="00992D26" w:rsidRDefault="00B83815" w:rsidP="00B83815">
      <w:pPr>
        <w:pStyle w:val="Sangradetextonormal"/>
        <w:spacing w:line="240" w:lineRule="auto"/>
        <w:ind w:left="1281" w:firstLine="0"/>
        <w:rPr>
          <w:rFonts w:ascii="Arial Narrow" w:hAnsi="Arial Narrow"/>
          <w:sz w:val="25"/>
        </w:rPr>
      </w:pPr>
    </w:p>
    <w:p w:rsidR="00B83815" w:rsidRPr="00992D26" w:rsidRDefault="00B83815" w:rsidP="00B83815">
      <w:pPr>
        <w:pStyle w:val="Sangradetextonormal"/>
        <w:spacing w:line="240" w:lineRule="auto"/>
        <w:ind w:left="1281" w:firstLine="0"/>
        <w:rPr>
          <w:rFonts w:ascii="Arial Narrow" w:hAnsi="Arial Narrow"/>
          <w:sz w:val="25"/>
        </w:rPr>
      </w:pPr>
    </w:p>
    <w:p w:rsidR="00B83815" w:rsidRPr="00992D26" w:rsidRDefault="00B83815" w:rsidP="00B83815">
      <w:pPr>
        <w:pStyle w:val="Sangradetextonormal"/>
        <w:numPr>
          <w:ilvl w:val="0"/>
          <w:numId w:val="6"/>
        </w:numPr>
        <w:tabs>
          <w:tab w:val="clear" w:pos="1068"/>
          <w:tab w:val="num" w:pos="720"/>
        </w:tabs>
        <w:ind w:hanging="708"/>
        <w:jc w:val="left"/>
        <w:rPr>
          <w:rFonts w:ascii="Arial Narrow" w:hAnsi="Arial Narrow"/>
          <w:b/>
          <w:bCs/>
          <w:szCs w:val="28"/>
        </w:rPr>
      </w:pPr>
      <w:r w:rsidRPr="00992D26">
        <w:rPr>
          <w:rFonts w:ascii="Arial Narrow" w:hAnsi="Arial Narrow"/>
          <w:b/>
          <w:bCs/>
          <w:szCs w:val="28"/>
        </w:rPr>
        <w:lastRenderedPageBreak/>
        <w:t>Metas</w:t>
      </w:r>
    </w:p>
    <w:p w:rsidR="00B83815" w:rsidRPr="00992D26" w:rsidRDefault="00B83815" w:rsidP="00B83815">
      <w:pPr>
        <w:pStyle w:val="Sangradetextonormal"/>
        <w:spacing w:line="240" w:lineRule="exact"/>
        <w:rPr>
          <w:rFonts w:ascii="Arial Narrow" w:hAnsi="Arial Narrow"/>
          <w:b/>
          <w:bCs/>
          <w:sz w:val="32"/>
          <w:szCs w:val="32"/>
        </w:rPr>
      </w:pPr>
    </w:p>
    <w:p w:rsidR="00B83815" w:rsidRPr="00992D26" w:rsidRDefault="00B83815" w:rsidP="00B83815">
      <w:pPr>
        <w:pStyle w:val="Sangradetextonormal"/>
        <w:spacing w:line="240" w:lineRule="exact"/>
        <w:rPr>
          <w:rFonts w:ascii="Arial Narrow" w:hAnsi="Arial Narrow"/>
          <w:b/>
          <w:bCs/>
          <w:sz w:val="32"/>
          <w:szCs w:val="32"/>
        </w:rPr>
      </w:pPr>
    </w:p>
    <w:p w:rsidR="00B83815" w:rsidRPr="00992D26" w:rsidRDefault="00B83815" w:rsidP="00B83815">
      <w:pPr>
        <w:pStyle w:val="Sangradetextonormal"/>
        <w:rPr>
          <w:rFonts w:ascii="Arial Narrow" w:hAnsi="Arial Narrow"/>
          <w:sz w:val="22"/>
          <w:szCs w:val="22"/>
        </w:rPr>
      </w:pPr>
      <w:r w:rsidRPr="00992D26">
        <w:rPr>
          <w:rFonts w:ascii="Arial Narrow" w:hAnsi="Arial Narrow"/>
          <w:sz w:val="22"/>
          <w:szCs w:val="22"/>
        </w:rPr>
        <w:t xml:space="preserve">Al considerar la espera de un mayor dinamismo económico, guiado por un crecimiento de la inversión y del sector externo,  la estimación de crecimiento fue fijado en un 3.7 por ciento para 2015. </w:t>
      </w:r>
    </w:p>
    <w:p w:rsidR="00B83815" w:rsidRPr="00992D26" w:rsidRDefault="00B83815" w:rsidP="00B83815">
      <w:pPr>
        <w:pStyle w:val="Sangradetextonormal"/>
        <w:rPr>
          <w:rFonts w:ascii="Arial Narrow" w:hAnsi="Arial Narrow"/>
          <w:sz w:val="22"/>
          <w:szCs w:val="22"/>
        </w:rPr>
      </w:pPr>
    </w:p>
    <w:p w:rsidR="00B83815" w:rsidRPr="00992D26" w:rsidRDefault="00B83815" w:rsidP="00B83815">
      <w:pPr>
        <w:pStyle w:val="Sangradetextonormal"/>
        <w:rPr>
          <w:rFonts w:ascii="Arial Narrow" w:hAnsi="Arial Narrow"/>
          <w:sz w:val="22"/>
          <w:szCs w:val="22"/>
        </w:rPr>
      </w:pPr>
      <w:r w:rsidRPr="00992D26">
        <w:rPr>
          <w:rFonts w:ascii="Arial Narrow" w:hAnsi="Arial Narrow"/>
          <w:sz w:val="22"/>
          <w:szCs w:val="22"/>
        </w:rPr>
        <w:t>Con respecto a la inflación, se pronosticó que en 2015, ésta se ubicaría dentro del objetivo del Banco de México de 3 por ciento más un intervalo de variabilidad de un punto porcentual.</w:t>
      </w:r>
    </w:p>
    <w:p w:rsidR="00B83815" w:rsidRPr="00992D26" w:rsidRDefault="00B83815" w:rsidP="00B83815">
      <w:pPr>
        <w:pStyle w:val="Sangradetextonormal"/>
        <w:rPr>
          <w:rFonts w:ascii="Arial Narrow" w:hAnsi="Arial Narrow"/>
          <w:sz w:val="22"/>
          <w:szCs w:val="22"/>
        </w:rPr>
      </w:pPr>
    </w:p>
    <w:p w:rsidR="00B83815" w:rsidRPr="00992D26" w:rsidRDefault="00B83815" w:rsidP="00B83815">
      <w:pPr>
        <w:pStyle w:val="Sangradetextonormal"/>
        <w:rPr>
          <w:rFonts w:ascii="Arial Narrow" w:hAnsi="Arial Narrow"/>
          <w:sz w:val="22"/>
          <w:szCs w:val="22"/>
        </w:rPr>
      </w:pPr>
      <w:r w:rsidRPr="00992D26">
        <w:rPr>
          <w:rFonts w:ascii="Arial Narrow" w:hAnsi="Arial Narrow"/>
          <w:sz w:val="22"/>
          <w:szCs w:val="22"/>
        </w:rPr>
        <w:t>En el Paquete Económico de 2015</w:t>
      </w:r>
      <w:r>
        <w:rPr>
          <w:rFonts w:ascii="Arial Narrow" w:hAnsi="Arial Narrow"/>
          <w:sz w:val="22"/>
          <w:szCs w:val="22"/>
        </w:rPr>
        <w:t xml:space="preserve"> quedó precisado que </w:t>
      </w:r>
      <w:r w:rsidRPr="00992D26">
        <w:rPr>
          <w:rFonts w:ascii="Arial Narrow" w:hAnsi="Arial Narrow"/>
          <w:sz w:val="22"/>
          <w:szCs w:val="22"/>
        </w:rPr>
        <w:t>este año se caracterizaría por bajos ingresos petroleros y un nivel de actividad económica que aún se encontraría por debajo de su nivel potencial, por lo que para hacer frente al faltante transitorio de ingresos y suavizar la trayectoria de gasto a fin de no afectar la dinámica positiva de nuestra economía, se planteó un déficit público de 1.0 por ciento del PIB, sin considerar la inversión de las Empresas Productivas del Estado.  Al considerar la inversión de</w:t>
      </w:r>
      <w:r>
        <w:rPr>
          <w:rFonts w:ascii="Arial Narrow" w:hAnsi="Arial Narrow"/>
          <w:sz w:val="22"/>
          <w:szCs w:val="22"/>
        </w:rPr>
        <w:t xml:space="preserve"> dichas e</w:t>
      </w:r>
      <w:r w:rsidRPr="00992D26">
        <w:rPr>
          <w:rFonts w:ascii="Arial Narrow" w:hAnsi="Arial Narrow"/>
          <w:sz w:val="22"/>
          <w:szCs w:val="22"/>
        </w:rPr>
        <w:t>mpresas, la meta propuesta de déficit total del sector público quedó establecida en 3.5 por ciento del PIB para el año 2015.</w:t>
      </w: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ind w:firstLine="0"/>
        <w:jc w:val="left"/>
        <w:rPr>
          <w:rFonts w:ascii="Arial Narrow" w:hAnsi="Arial Narrow"/>
          <w:b/>
          <w:bCs/>
          <w:szCs w:val="28"/>
        </w:rPr>
      </w:pPr>
      <w:r w:rsidRPr="00992D26">
        <w:rPr>
          <w:rFonts w:ascii="Arial Narrow" w:hAnsi="Arial Narrow"/>
          <w:b/>
          <w:bCs/>
          <w:szCs w:val="28"/>
        </w:rPr>
        <w:t>2.1.1.2.- Evolución de las Variables Económicas</w:t>
      </w:r>
    </w:p>
    <w:p w:rsidR="00B83815" w:rsidRPr="00992D26" w:rsidRDefault="00B83815" w:rsidP="00B83815">
      <w:pPr>
        <w:pStyle w:val="Sangradetextonormal"/>
        <w:spacing w:line="240" w:lineRule="auto"/>
        <w:ind w:firstLine="0"/>
        <w:jc w:val="left"/>
        <w:rPr>
          <w:rFonts w:ascii="Arial Narrow" w:hAnsi="Arial Narrow"/>
          <w:b/>
          <w:bCs/>
          <w:szCs w:val="28"/>
        </w:rPr>
      </w:pPr>
      <w:r w:rsidRPr="00992D26">
        <w:rPr>
          <w:rFonts w:ascii="Arial Narrow" w:hAnsi="Arial Narrow"/>
          <w:b/>
          <w:bCs/>
          <w:szCs w:val="28"/>
        </w:rPr>
        <w:tab/>
      </w:r>
    </w:p>
    <w:p w:rsidR="00B83815" w:rsidRPr="00992D26" w:rsidRDefault="00B83815" w:rsidP="00B83815">
      <w:pPr>
        <w:pStyle w:val="Sangradetextonormal"/>
        <w:numPr>
          <w:ilvl w:val="0"/>
          <w:numId w:val="7"/>
        </w:numPr>
        <w:tabs>
          <w:tab w:val="clear" w:pos="1068"/>
          <w:tab w:val="num" w:pos="900"/>
        </w:tabs>
        <w:ind w:hanging="528"/>
        <w:jc w:val="left"/>
        <w:rPr>
          <w:rFonts w:ascii="Arial Narrow" w:hAnsi="Arial Narrow"/>
          <w:b/>
          <w:bCs/>
          <w:szCs w:val="28"/>
        </w:rPr>
      </w:pPr>
      <w:r w:rsidRPr="00992D26">
        <w:rPr>
          <w:rFonts w:ascii="Arial Narrow" w:hAnsi="Arial Narrow"/>
          <w:b/>
          <w:bCs/>
          <w:szCs w:val="28"/>
        </w:rPr>
        <w:t>Producto Interno Bruto (PIB)</w:t>
      </w:r>
    </w:p>
    <w:p w:rsidR="00B83815" w:rsidRPr="00992D26" w:rsidRDefault="00B83815" w:rsidP="00B83815">
      <w:pPr>
        <w:pStyle w:val="Sangradetextonormal"/>
        <w:ind w:left="540" w:firstLine="0"/>
        <w:jc w:val="left"/>
        <w:rPr>
          <w:rFonts w:ascii="Arial Narrow" w:hAnsi="Arial Narrow"/>
          <w:b/>
          <w:bCs/>
          <w:sz w:val="32"/>
          <w:szCs w:val="32"/>
        </w:rPr>
      </w:pPr>
    </w:p>
    <w:p w:rsidR="00B83815" w:rsidRPr="00992D26" w:rsidRDefault="00B83815" w:rsidP="00B83815">
      <w:pPr>
        <w:pStyle w:val="Sangradetextonormal"/>
        <w:rPr>
          <w:rFonts w:ascii="Arial Narrow" w:hAnsi="Arial Narrow"/>
          <w:bCs/>
          <w:sz w:val="22"/>
          <w:szCs w:val="22"/>
        </w:rPr>
      </w:pPr>
      <w:r w:rsidRPr="00992D26">
        <w:rPr>
          <w:rFonts w:ascii="Arial Narrow" w:hAnsi="Arial Narrow"/>
          <w:bCs/>
          <w:sz w:val="22"/>
          <w:szCs w:val="22"/>
        </w:rPr>
        <w:t>Cabe señalar que la información relacionada con el PIB  (Producto Interno Bruto) ofrece en el corto plazo, una visión oportuna, completa y coherente de la evolución de las actividades económicas del país, para apoyar la toma de decisiones.</w:t>
      </w:r>
    </w:p>
    <w:p w:rsidR="00B83815" w:rsidRPr="00992D26" w:rsidRDefault="00B83815" w:rsidP="00B83815">
      <w:pPr>
        <w:pStyle w:val="Sangradetextonormal"/>
        <w:rPr>
          <w:rFonts w:ascii="Arial Narrow" w:hAnsi="Arial Narrow"/>
          <w:bCs/>
          <w:sz w:val="22"/>
          <w:szCs w:val="22"/>
        </w:rPr>
      </w:pPr>
    </w:p>
    <w:p w:rsidR="00B83815" w:rsidRPr="00992D26" w:rsidRDefault="00B83815" w:rsidP="00B83815">
      <w:pPr>
        <w:pStyle w:val="Sangradetextonormal"/>
        <w:ind w:firstLine="720"/>
        <w:rPr>
          <w:rFonts w:ascii="Arial Narrow" w:hAnsi="Arial Narrow"/>
          <w:sz w:val="22"/>
          <w:szCs w:val="22"/>
        </w:rPr>
      </w:pPr>
      <w:r w:rsidRPr="00992D26">
        <w:rPr>
          <w:rFonts w:ascii="Arial Narrow" w:hAnsi="Arial Narrow"/>
          <w:sz w:val="22"/>
          <w:szCs w:val="22"/>
        </w:rPr>
        <w:t xml:space="preserve">Al respecto, se informa que con datos </w:t>
      </w:r>
      <w:proofErr w:type="spellStart"/>
      <w:r w:rsidRPr="00992D26">
        <w:rPr>
          <w:rFonts w:ascii="Arial Narrow" w:hAnsi="Arial Narrow"/>
          <w:sz w:val="22"/>
          <w:szCs w:val="22"/>
        </w:rPr>
        <w:t>desestacionalizados</w:t>
      </w:r>
      <w:proofErr w:type="spellEnd"/>
      <w:r w:rsidRPr="00992D26">
        <w:rPr>
          <w:rFonts w:ascii="Arial Narrow" w:hAnsi="Arial Narrow"/>
          <w:sz w:val="22"/>
          <w:szCs w:val="22"/>
        </w:rPr>
        <w:t xml:space="preserve">, durante el cuarto trimestre de 2015 el PIB (Producto Interno Bruto) registró un crecimiento de 0.5% respecto al trimestre inmediato anterior. </w:t>
      </w:r>
    </w:p>
    <w:p w:rsidR="00B83815" w:rsidRPr="00992D26" w:rsidRDefault="00B83815" w:rsidP="00B83815">
      <w:pPr>
        <w:pStyle w:val="Sangradetextonormal"/>
        <w:ind w:firstLine="720"/>
        <w:rPr>
          <w:rFonts w:ascii="Arial Narrow" w:hAnsi="Arial Narrow"/>
          <w:sz w:val="22"/>
          <w:szCs w:val="22"/>
        </w:rPr>
      </w:pPr>
    </w:p>
    <w:p w:rsidR="00B83815" w:rsidRPr="00992D26" w:rsidRDefault="00B83815" w:rsidP="00B83815">
      <w:pPr>
        <w:pStyle w:val="Sangradetextonormal"/>
        <w:ind w:firstLine="720"/>
        <w:rPr>
          <w:rFonts w:ascii="Arial Narrow" w:hAnsi="Arial Narrow"/>
          <w:sz w:val="22"/>
          <w:szCs w:val="22"/>
        </w:rPr>
      </w:pPr>
      <w:r w:rsidRPr="00992D26">
        <w:rPr>
          <w:rFonts w:ascii="Arial Narrow" w:hAnsi="Arial Narrow"/>
          <w:sz w:val="22"/>
          <w:szCs w:val="22"/>
        </w:rPr>
        <w:lastRenderedPageBreak/>
        <w:t>Por componentes, las actividades terciarias se incrementaron 0.9 %, las actividades secundarias decrecieron 0.4%, en tanto que las actividades primarias disminuyeron 1.9% comparativamente con el trimestre julio – septiembre.</w:t>
      </w:r>
    </w:p>
    <w:p w:rsidR="00B83815" w:rsidRPr="00992D26" w:rsidRDefault="00B83815" w:rsidP="00B83815">
      <w:pPr>
        <w:pStyle w:val="Sangradetextonormal"/>
        <w:ind w:left="540" w:firstLine="0"/>
        <w:jc w:val="left"/>
        <w:rPr>
          <w:rFonts w:ascii="Arial Narrow" w:hAnsi="Arial Narrow"/>
          <w:b/>
          <w:bCs/>
          <w:sz w:val="22"/>
          <w:szCs w:val="22"/>
        </w:rPr>
      </w:pPr>
    </w:p>
    <w:p w:rsidR="00B83815" w:rsidRPr="00992D26" w:rsidRDefault="00B83815" w:rsidP="00B83815">
      <w:pPr>
        <w:pStyle w:val="Sangradetextonormal"/>
        <w:ind w:firstLine="720"/>
        <w:rPr>
          <w:rFonts w:ascii="Arial Narrow" w:hAnsi="Arial Narrow"/>
          <w:sz w:val="22"/>
          <w:szCs w:val="22"/>
        </w:rPr>
      </w:pPr>
      <w:r w:rsidRPr="00992D26">
        <w:rPr>
          <w:rFonts w:ascii="Arial Narrow" w:hAnsi="Arial Narrow"/>
          <w:sz w:val="22"/>
          <w:szCs w:val="22"/>
        </w:rPr>
        <w:t>En su comparación anual, el Producto Interno Bruto (PIB) registró una alza de 2.5% en el cuarto trimestre de 2015 respecto a igual trimestre de 2014; por grandes actividades económicas, el PIB de las actividades terciarias se elevó 3.7%, el de las primarias 2.9 por ciento y el de las secundarias 0.2%.</w:t>
      </w:r>
    </w:p>
    <w:p w:rsidR="00B83815" w:rsidRDefault="00B83815" w:rsidP="00B83815">
      <w:pPr>
        <w:pStyle w:val="Sangradetextonormal"/>
        <w:ind w:firstLine="720"/>
        <w:rPr>
          <w:rFonts w:ascii="Arial Narrow" w:hAnsi="Arial Narrow"/>
          <w:sz w:val="25"/>
        </w:rPr>
      </w:pPr>
    </w:p>
    <w:p w:rsidR="00B83815" w:rsidRPr="00992D26" w:rsidRDefault="00B83815" w:rsidP="00B83815">
      <w:pPr>
        <w:pStyle w:val="Sangradetextonormal"/>
        <w:ind w:firstLine="720"/>
        <w:rPr>
          <w:rFonts w:ascii="Arial Narrow" w:hAnsi="Arial Narrow"/>
          <w:sz w:val="25"/>
        </w:rPr>
      </w:pPr>
    </w:p>
    <w:p w:rsidR="00B83815" w:rsidRPr="00992D26" w:rsidRDefault="00B83815" w:rsidP="00B83815">
      <w:pPr>
        <w:pStyle w:val="Sangradetextonormal"/>
        <w:numPr>
          <w:ilvl w:val="0"/>
          <w:numId w:val="7"/>
        </w:numPr>
        <w:tabs>
          <w:tab w:val="clear" w:pos="1068"/>
          <w:tab w:val="num" w:pos="900"/>
        </w:tabs>
        <w:ind w:hanging="528"/>
        <w:jc w:val="left"/>
        <w:rPr>
          <w:rFonts w:ascii="Arial Narrow" w:hAnsi="Arial Narrow"/>
          <w:b/>
          <w:bCs/>
          <w:szCs w:val="28"/>
        </w:rPr>
      </w:pPr>
      <w:r w:rsidRPr="00992D26">
        <w:rPr>
          <w:rFonts w:ascii="Arial Narrow" w:hAnsi="Arial Narrow"/>
          <w:b/>
          <w:bCs/>
          <w:szCs w:val="28"/>
        </w:rPr>
        <w:t>Empleo</w:t>
      </w:r>
    </w:p>
    <w:p w:rsidR="00B83815" w:rsidRPr="00992D26" w:rsidRDefault="00B83815" w:rsidP="00B83815">
      <w:pPr>
        <w:pStyle w:val="Sangradetextonormal"/>
        <w:ind w:firstLine="876"/>
        <w:rPr>
          <w:rFonts w:ascii="Arial Narrow" w:hAnsi="Arial Narrow"/>
          <w:sz w:val="25"/>
        </w:rPr>
      </w:pPr>
    </w:p>
    <w:p w:rsidR="00B83815" w:rsidRPr="00992D26" w:rsidRDefault="00B83815" w:rsidP="00B83815">
      <w:pPr>
        <w:pStyle w:val="Sangradetextonormal"/>
        <w:ind w:firstLine="876"/>
        <w:rPr>
          <w:rFonts w:ascii="Arial Narrow" w:hAnsi="Arial Narrow"/>
          <w:sz w:val="22"/>
          <w:szCs w:val="22"/>
        </w:rPr>
      </w:pPr>
      <w:r w:rsidRPr="00992D26">
        <w:rPr>
          <w:rFonts w:ascii="Arial Narrow" w:hAnsi="Arial Narrow"/>
          <w:sz w:val="22"/>
          <w:szCs w:val="22"/>
        </w:rPr>
        <w:t>Al 31 de diciembre de 2015, el número de trabajadores afiliados al IMSS fue de 17.9 millones de personas, nivel que implicó un crecimiento anual de 644 mil plazas (3.7 por ciento). Por tipo de contrato, la afiliación permanente se incrementó en 599 mil trabajadores (92.9 por ciento del total) y la afiliación eventual lo hizo en 46 mil personas (7.1 por ciento del total).</w:t>
      </w:r>
    </w:p>
    <w:p w:rsidR="00B83815" w:rsidRPr="00992D26" w:rsidRDefault="00B83815" w:rsidP="00B83815">
      <w:pPr>
        <w:pStyle w:val="Sangradetextonormal"/>
        <w:ind w:firstLine="876"/>
        <w:rPr>
          <w:rFonts w:ascii="Arial Narrow" w:hAnsi="Arial Narrow"/>
          <w:sz w:val="22"/>
          <w:szCs w:val="22"/>
        </w:rPr>
      </w:pPr>
    </w:p>
    <w:p w:rsidR="00B83815" w:rsidRPr="00992D26" w:rsidRDefault="00B83815" w:rsidP="00B83815">
      <w:pPr>
        <w:pStyle w:val="Sangradetextonormal"/>
        <w:ind w:firstLine="876"/>
        <w:rPr>
          <w:rFonts w:ascii="Arial Narrow" w:hAnsi="Arial Narrow"/>
          <w:sz w:val="22"/>
          <w:szCs w:val="22"/>
        </w:rPr>
      </w:pPr>
      <w:r w:rsidRPr="00992D26">
        <w:rPr>
          <w:rFonts w:ascii="Arial Narrow" w:hAnsi="Arial Narrow"/>
          <w:sz w:val="22"/>
          <w:szCs w:val="22"/>
        </w:rPr>
        <w:t>Durante el cuarto trimestre de 2015 la tasa de desocupación nacional se ubicó en 4.16 por ciento de la PEA (Población Económicamente Activa), tasa que representa una disminución anual de 0.20 puntos porcentuales.</w:t>
      </w:r>
    </w:p>
    <w:p w:rsidR="00B83815" w:rsidRPr="00992D26" w:rsidRDefault="00B83815" w:rsidP="00B83815">
      <w:pPr>
        <w:pStyle w:val="Sangradetextonormal"/>
        <w:ind w:firstLine="876"/>
        <w:rPr>
          <w:rFonts w:ascii="Arial Narrow" w:hAnsi="Arial Narrow"/>
          <w:sz w:val="22"/>
          <w:szCs w:val="22"/>
          <w:highlight w:val="yellow"/>
        </w:rPr>
      </w:pPr>
    </w:p>
    <w:p w:rsidR="00B83815" w:rsidRPr="00992D26" w:rsidRDefault="00B83815" w:rsidP="00B83815">
      <w:pPr>
        <w:pStyle w:val="Sangradetextonormal"/>
        <w:ind w:firstLine="876"/>
        <w:rPr>
          <w:rFonts w:ascii="Arial Narrow" w:hAnsi="Arial Narrow"/>
          <w:sz w:val="22"/>
          <w:szCs w:val="22"/>
        </w:rPr>
      </w:pPr>
      <w:r w:rsidRPr="00992D26">
        <w:rPr>
          <w:rFonts w:ascii="Arial Narrow" w:hAnsi="Arial Narrow"/>
          <w:sz w:val="22"/>
          <w:szCs w:val="22"/>
        </w:rPr>
        <w:t>Por su parte, durante el cuarto trimestre de 2015, la tasa de desocupación en las principales áreas urbanas se ubicó en 4.9 por ciento de la PEA, mientras que en el mismo período del año anterior se ubicó en 5.1 porciento.</w:t>
      </w:r>
    </w:p>
    <w:p w:rsidR="00B83815" w:rsidRPr="00992D26" w:rsidRDefault="00B83815" w:rsidP="00B83815">
      <w:pPr>
        <w:pStyle w:val="Sangradetextonormal"/>
        <w:ind w:firstLine="876"/>
        <w:rPr>
          <w:rFonts w:ascii="Arial Narrow" w:hAnsi="Arial Narrow"/>
          <w:sz w:val="22"/>
          <w:szCs w:val="22"/>
        </w:rPr>
      </w:pPr>
    </w:p>
    <w:p w:rsidR="00B83815" w:rsidRPr="00992D26" w:rsidRDefault="00B83815" w:rsidP="00B83815">
      <w:pPr>
        <w:pStyle w:val="Sangradetextonormal"/>
        <w:ind w:firstLine="876"/>
        <w:rPr>
          <w:rFonts w:ascii="Arial Narrow" w:hAnsi="Arial Narrow"/>
          <w:sz w:val="22"/>
          <w:szCs w:val="22"/>
        </w:rPr>
      </w:pPr>
      <w:r w:rsidRPr="00992D26">
        <w:rPr>
          <w:rFonts w:ascii="Arial Narrow" w:hAnsi="Arial Narrow"/>
          <w:sz w:val="22"/>
          <w:szCs w:val="22"/>
        </w:rPr>
        <w:t>En el trimestre octubre-diciembre la tasa de subocupación se ubicó en 8.5 por ciento de la población ocupada.</w:t>
      </w:r>
    </w:p>
    <w:p w:rsidR="00B83815" w:rsidRDefault="00B83815" w:rsidP="00B83815">
      <w:pPr>
        <w:pStyle w:val="Sangradetextonormal"/>
        <w:ind w:firstLine="876"/>
        <w:rPr>
          <w:rFonts w:ascii="Arial Narrow" w:hAnsi="Arial Narrow"/>
          <w:sz w:val="25"/>
        </w:rPr>
      </w:pPr>
    </w:p>
    <w:p w:rsidR="00B83815" w:rsidRPr="00992D26" w:rsidRDefault="00B83815" w:rsidP="00B83815">
      <w:pPr>
        <w:pStyle w:val="Sangradetextonormal"/>
        <w:ind w:firstLine="876"/>
        <w:rPr>
          <w:rFonts w:ascii="Arial Narrow" w:hAnsi="Arial Narrow"/>
          <w:sz w:val="25"/>
        </w:rPr>
      </w:pPr>
    </w:p>
    <w:p w:rsidR="00B83815" w:rsidRPr="00937681" w:rsidRDefault="00B83815" w:rsidP="00B83815">
      <w:pPr>
        <w:pStyle w:val="Sangradetextonormal"/>
        <w:numPr>
          <w:ilvl w:val="0"/>
          <w:numId w:val="7"/>
        </w:numPr>
        <w:tabs>
          <w:tab w:val="clear" w:pos="1068"/>
          <w:tab w:val="num" w:pos="900"/>
        </w:tabs>
        <w:ind w:hanging="528"/>
        <w:jc w:val="left"/>
        <w:rPr>
          <w:rFonts w:ascii="Arial Narrow" w:hAnsi="Arial Narrow"/>
          <w:b/>
          <w:bCs/>
          <w:szCs w:val="28"/>
        </w:rPr>
      </w:pPr>
      <w:r w:rsidRPr="00937681">
        <w:rPr>
          <w:rFonts w:ascii="Arial Narrow" w:hAnsi="Arial Narrow"/>
          <w:b/>
          <w:bCs/>
          <w:szCs w:val="28"/>
        </w:rPr>
        <w:lastRenderedPageBreak/>
        <w:t>Inflación</w:t>
      </w:r>
    </w:p>
    <w:p w:rsidR="00B83815" w:rsidRPr="00937681" w:rsidRDefault="00B83815" w:rsidP="00B83815">
      <w:pPr>
        <w:pStyle w:val="Sangradetextonormal"/>
        <w:spacing w:line="240" w:lineRule="auto"/>
        <w:ind w:left="540" w:firstLine="0"/>
        <w:jc w:val="left"/>
        <w:rPr>
          <w:rFonts w:ascii="Arial Narrow" w:hAnsi="Arial Narrow"/>
          <w:b/>
          <w:bCs/>
          <w:sz w:val="32"/>
          <w:szCs w:val="32"/>
        </w:rPr>
      </w:pPr>
    </w:p>
    <w:p w:rsidR="00B83815" w:rsidRPr="00937681" w:rsidRDefault="00B83815" w:rsidP="00B83815">
      <w:pPr>
        <w:pStyle w:val="Sangradetextonormal"/>
        <w:ind w:firstLine="876"/>
        <w:rPr>
          <w:rFonts w:ascii="Arial Narrow" w:hAnsi="Arial Narrow"/>
          <w:sz w:val="22"/>
          <w:szCs w:val="22"/>
        </w:rPr>
      </w:pPr>
      <w:r w:rsidRPr="00937681">
        <w:rPr>
          <w:rFonts w:ascii="Arial Narrow" w:hAnsi="Arial Narrow"/>
          <w:sz w:val="22"/>
          <w:szCs w:val="22"/>
        </w:rPr>
        <w:t xml:space="preserve">El Banco de México informa que la conducción de la política monetaria </w:t>
      </w:r>
      <w:r>
        <w:rPr>
          <w:rFonts w:ascii="Arial Narrow" w:hAnsi="Arial Narrow"/>
          <w:sz w:val="22"/>
          <w:szCs w:val="22"/>
        </w:rPr>
        <w:t>se ha enfocado en procurar la estabilidad del poder adquisitivo de la moneda nacional, observando en todo momento que ésta se alcance al menor costo posible para la sociedad en términos de actividad económica.</w:t>
      </w:r>
    </w:p>
    <w:p w:rsidR="00B83815" w:rsidRPr="00937681" w:rsidRDefault="00B83815" w:rsidP="00B83815">
      <w:pPr>
        <w:pStyle w:val="Sangradetextonormal"/>
        <w:ind w:firstLine="876"/>
        <w:rPr>
          <w:rFonts w:ascii="Arial Narrow" w:hAnsi="Arial Narrow"/>
          <w:sz w:val="22"/>
          <w:szCs w:val="22"/>
        </w:rPr>
      </w:pPr>
    </w:p>
    <w:p w:rsidR="00B83815" w:rsidRPr="00937681" w:rsidRDefault="00B83815" w:rsidP="00B83815">
      <w:pPr>
        <w:pStyle w:val="Sangradetextonormal"/>
        <w:ind w:firstLine="876"/>
        <w:rPr>
          <w:rFonts w:ascii="Arial Narrow" w:hAnsi="Arial Narrow"/>
          <w:sz w:val="22"/>
          <w:szCs w:val="22"/>
        </w:rPr>
      </w:pPr>
      <w:r w:rsidRPr="00937681">
        <w:rPr>
          <w:rFonts w:ascii="Arial Narrow" w:hAnsi="Arial Narrow"/>
          <w:sz w:val="22"/>
          <w:szCs w:val="22"/>
        </w:rPr>
        <w:t xml:space="preserve">Así mismo, dicho Instituto Central subraya que </w:t>
      </w:r>
      <w:r>
        <w:rPr>
          <w:rFonts w:ascii="Arial Narrow" w:hAnsi="Arial Narrow"/>
          <w:sz w:val="22"/>
          <w:szCs w:val="22"/>
        </w:rPr>
        <w:t>los esfuerzos que se han realizado para lograr obtener un entorno de inflación baja y estable en México, contribuyeron a que en los primeros meses de 2015 la inflación general convergiera a la meta permanente de 3 por ciento y a partir de mayo se ubicara por debajo de la misma, presentando niveles mínimos históricos de manera consecutiva, para cerrar 2015 con una variación anual de 2.13 por ciento, que es la menor cifra que se ha registrado desde que se mide y publica el INPC (Índice Nacional de Precios al Consumidor).</w:t>
      </w:r>
      <w:r w:rsidRPr="00937681">
        <w:rPr>
          <w:rFonts w:ascii="Arial Narrow" w:hAnsi="Arial Narrow"/>
          <w:sz w:val="22"/>
          <w:szCs w:val="22"/>
        </w:rPr>
        <w:t xml:space="preserve"> </w:t>
      </w:r>
    </w:p>
    <w:p w:rsidR="00B83815" w:rsidRPr="00937681" w:rsidRDefault="00B83815" w:rsidP="00B83815">
      <w:pPr>
        <w:pStyle w:val="Sangradetextonormal"/>
        <w:ind w:firstLine="876"/>
        <w:rPr>
          <w:rFonts w:ascii="Arial Narrow" w:hAnsi="Arial Narrow"/>
          <w:sz w:val="22"/>
          <w:szCs w:val="22"/>
        </w:rPr>
      </w:pPr>
    </w:p>
    <w:p w:rsidR="00B83815" w:rsidRPr="00937681" w:rsidRDefault="00B83815" w:rsidP="00B83815">
      <w:pPr>
        <w:pStyle w:val="Sangradetextonormal"/>
        <w:ind w:firstLine="876"/>
        <w:rPr>
          <w:rFonts w:ascii="Arial Narrow" w:hAnsi="Arial Narrow"/>
          <w:sz w:val="22"/>
          <w:szCs w:val="22"/>
        </w:rPr>
      </w:pPr>
      <w:r>
        <w:rPr>
          <w:rFonts w:ascii="Arial Narrow" w:hAnsi="Arial Narrow"/>
          <w:sz w:val="22"/>
          <w:szCs w:val="22"/>
        </w:rPr>
        <w:t>El comportamiento favorable de la inflación ocurrió en una coyuntura sumamente compleja, en virtud de que en el ámbito interno predominó un crecimiento económico moderado y en cuanto al entorno internacional continuó la notoria debilidad en el ritmo de expansión de los niveles de actividad global, además de episodios recurrentes de volatilidad financiera, la continua tendencia a la baja en el precio del petróleo y un alto grado de incertidumbre acerca del momento y el ritmo en el que se normalizaría la postura monetaria en los Estados Unidos de América.</w:t>
      </w:r>
    </w:p>
    <w:p w:rsidR="00B83815" w:rsidRPr="00992D26" w:rsidRDefault="00B83815" w:rsidP="00B83815">
      <w:pPr>
        <w:pStyle w:val="Sangradetextonormal"/>
        <w:ind w:left="539" w:firstLine="0"/>
        <w:jc w:val="left"/>
        <w:rPr>
          <w:rFonts w:ascii="Arial Narrow" w:hAnsi="Arial Narrow"/>
          <w:sz w:val="22"/>
          <w:szCs w:val="22"/>
          <w:highlight w:val="yellow"/>
        </w:rPr>
      </w:pPr>
    </w:p>
    <w:p w:rsidR="00B83815" w:rsidRPr="001273F3" w:rsidRDefault="00B83815" w:rsidP="00B83815">
      <w:pPr>
        <w:pStyle w:val="Sangradetextonormal"/>
        <w:ind w:firstLine="876"/>
        <w:rPr>
          <w:rFonts w:ascii="Arial Narrow" w:hAnsi="Arial Narrow"/>
          <w:sz w:val="22"/>
          <w:szCs w:val="22"/>
        </w:rPr>
      </w:pPr>
      <w:r w:rsidRPr="001273F3">
        <w:rPr>
          <w:rFonts w:ascii="Arial Narrow" w:hAnsi="Arial Narrow"/>
          <w:sz w:val="22"/>
          <w:szCs w:val="22"/>
        </w:rPr>
        <w:t xml:space="preserve"> Conforme a l</w:t>
      </w:r>
      <w:r>
        <w:rPr>
          <w:rFonts w:ascii="Arial Narrow" w:hAnsi="Arial Narrow"/>
          <w:sz w:val="22"/>
          <w:szCs w:val="22"/>
        </w:rPr>
        <w:t>o descrito, en diciembre de 2015</w:t>
      </w:r>
      <w:r w:rsidRPr="001273F3">
        <w:rPr>
          <w:rFonts w:ascii="Arial Narrow" w:hAnsi="Arial Narrow"/>
          <w:sz w:val="22"/>
          <w:szCs w:val="22"/>
        </w:rPr>
        <w:t xml:space="preserve"> el Índice Nacional de Precios al Consumidor (INPC) registró </w:t>
      </w:r>
      <w:r>
        <w:rPr>
          <w:rFonts w:ascii="Arial Narrow" w:hAnsi="Arial Narrow"/>
          <w:sz w:val="22"/>
          <w:szCs w:val="22"/>
        </w:rPr>
        <w:t>un incremento de 0.41</w:t>
      </w:r>
      <w:r w:rsidRPr="001273F3">
        <w:rPr>
          <w:rFonts w:ascii="Arial Narrow" w:hAnsi="Arial Narrow"/>
          <w:sz w:val="22"/>
          <w:szCs w:val="22"/>
        </w:rPr>
        <w:t xml:space="preserve"> por ciento, así como </w:t>
      </w:r>
      <w:r>
        <w:rPr>
          <w:rFonts w:ascii="Arial Narrow" w:hAnsi="Arial Narrow"/>
          <w:sz w:val="22"/>
          <w:szCs w:val="22"/>
        </w:rPr>
        <w:t>una tasa de inflación anual de 2.13</w:t>
      </w:r>
      <w:r w:rsidRPr="001273F3">
        <w:rPr>
          <w:rFonts w:ascii="Arial Narrow" w:hAnsi="Arial Narrow"/>
          <w:sz w:val="22"/>
          <w:szCs w:val="22"/>
        </w:rPr>
        <w:t xml:space="preserve"> por cient</w:t>
      </w:r>
      <w:r>
        <w:rPr>
          <w:rFonts w:ascii="Arial Narrow" w:hAnsi="Arial Narrow"/>
          <w:sz w:val="22"/>
          <w:szCs w:val="22"/>
        </w:rPr>
        <w:t>o. En el mismo periodo de 2014 los datos fueron de 0.49 por ciento mensual y de 4.08</w:t>
      </w:r>
      <w:r w:rsidRPr="001273F3">
        <w:rPr>
          <w:rFonts w:ascii="Arial Narrow" w:hAnsi="Arial Narrow"/>
          <w:sz w:val="22"/>
          <w:szCs w:val="22"/>
        </w:rPr>
        <w:t xml:space="preserve"> por ciento anual.</w:t>
      </w:r>
    </w:p>
    <w:p w:rsidR="00B83815" w:rsidRPr="001273F3" w:rsidRDefault="00B83815" w:rsidP="00B83815">
      <w:pPr>
        <w:pStyle w:val="Sangradetextonormal"/>
        <w:ind w:left="539" w:firstLine="0"/>
        <w:jc w:val="left"/>
        <w:rPr>
          <w:rFonts w:ascii="Arial Narrow" w:hAnsi="Arial Narrow"/>
          <w:sz w:val="22"/>
          <w:szCs w:val="22"/>
        </w:rPr>
      </w:pPr>
    </w:p>
    <w:p w:rsidR="00B83815" w:rsidRPr="001273F3" w:rsidRDefault="00B83815" w:rsidP="00B83815">
      <w:pPr>
        <w:pStyle w:val="Sangradetextonormal"/>
        <w:ind w:firstLine="876"/>
        <w:rPr>
          <w:rFonts w:ascii="Arial Narrow" w:hAnsi="Arial Narrow"/>
          <w:sz w:val="22"/>
          <w:szCs w:val="22"/>
        </w:rPr>
      </w:pPr>
      <w:r w:rsidRPr="001273F3">
        <w:rPr>
          <w:rFonts w:ascii="Arial Narrow" w:hAnsi="Arial Narrow"/>
          <w:sz w:val="22"/>
          <w:szCs w:val="22"/>
        </w:rPr>
        <w:t xml:space="preserve">El índice de precios subyacente </w:t>
      </w:r>
      <w:r>
        <w:rPr>
          <w:rFonts w:ascii="Arial Narrow" w:hAnsi="Arial Narrow"/>
          <w:sz w:val="22"/>
          <w:szCs w:val="22"/>
        </w:rPr>
        <w:t>presentó un crecimiento de 0.31</w:t>
      </w:r>
      <w:r w:rsidRPr="001273F3">
        <w:rPr>
          <w:rFonts w:ascii="Arial Narrow" w:hAnsi="Arial Narrow"/>
          <w:sz w:val="22"/>
          <w:szCs w:val="22"/>
        </w:rPr>
        <w:t xml:space="preserve"> por ciento,</w:t>
      </w:r>
      <w:r>
        <w:rPr>
          <w:rFonts w:ascii="Arial Narrow" w:hAnsi="Arial Narrow"/>
          <w:sz w:val="22"/>
          <w:szCs w:val="22"/>
        </w:rPr>
        <w:t xml:space="preserve"> colocando su tasa anual en 2.41</w:t>
      </w:r>
      <w:r w:rsidRPr="001273F3">
        <w:rPr>
          <w:rFonts w:ascii="Arial Narrow" w:hAnsi="Arial Narrow"/>
          <w:sz w:val="22"/>
          <w:szCs w:val="22"/>
        </w:rPr>
        <w:t xml:space="preserve"> por ciento. Por su parte, el índice de preci</w:t>
      </w:r>
      <w:r>
        <w:rPr>
          <w:rFonts w:ascii="Arial Narrow" w:hAnsi="Arial Narrow"/>
          <w:sz w:val="22"/>
          <w:szCs w:val="22"/>
        </w:rPr>
        <w:t>os no subyacente aumentó 0.72</w:t>
      </w:r>
      <w:r w:rsidRPr="001273F3">
        <w:rPr>
          <w:rFonts w:ascii="Arial Narrow" w:hAnsi="Arial Narrow"/>
          <w:sz w:val="22"/>
          <w:szCs w:val="22"/>
        </w:rPr>
        <w:t xml:space="preserve"> por ciento, alcanzando d</w:t>
      </w:r>
      <w:r>
        <w:rPr>
          <w:rFonts w:ascii="Arial Narrow" w:hAnsi="Arial Narrow"/>
          <w:sz w:val="22"/>
          <w:szCs w:val="22"/>
        </w:rPr>
        <w:t>e esta forma una tasa anual de 1.28</w:t>
      </w:r>
      <w:r w:rsidRPr="001273F3">
        <w:rPr>
          <w:rFonts w:ascii="Arial Narrow" w:hAnsi="Arial Narrow"/>
          <w:sz w:val="22"/>
          <w:szCs w:val="22"/>
        </w:rPr>
        <w:t xml:space="preserve"> por ciento.</w:t>
      </w:r>
    </w:p>
    <w:p w:rsidR="00B83815" w:rsidRPr="001273F3" w:rsidRDefault="00B83815" w:rsidP="00B83815">
      <w:pPr>
        <w:pStyle w:val="Sangradetextonormal"/>
        <w:ind w:left="539" w:firstLine="0"/>
        <w:jc w:val="left"/>
        <w:rPr>
          <w:rFonts w:ascii="Arial Narrow" w:hAnsi="Arial Narrow"/>
          <w:sz w:val="22"/>
          <w:szCs w:val="22"/>
        </w:rPr>
      </w:pPr>
    </w:p>
    <w:p w:rsidR="00B83815" w:rsidRPr="001273F3" w:rsidRDefault="00B83815" w:rsidP="00B83815">
      <w:pPr>
        <w:pStyle w:val="Sangradetextonormal"/>
        <w:ind w:firstLine="851"/>
        <w:rPr>
          <w:rFonts w:ascii="Arial Narrow" w:hAnsi="Arial Narrow"/>
          <w:bCs/>
          <w:sz w:val="22"/>
          <w:szCs w:val="22"/>
        </w:rPr>
      </w:pPr>
      <w:r w:rsidRPr="001273F3">
        <w:rPr>
          <w:rFonts w:ascii="Arial Narrow" w:hAnsi="Arial Narrow"/>
          <w:bCs/>
          <w:sz w:val="22"/>
          <w:szCs w:val="22"/>
        </w:rPr>
        <w:lastRenderedPageBreak/>
        <w:t>Al interior del índice de precios subyacente, el subíndice de precios de las mer</w:t>
      </w:r>
      <w:r>
        <w:rPr>
          <w:rFonts w:ascii="Arial Narrow" w:hAnsi="Arial Narrow"/>
          <w:bCs/>
          <w:sz w:val="22"/>
          <w:szCs w:val="22"/>
        </w:rPr>
        <w:t xml:space="preserve">cancías mostró una alza de 0.21 </w:t>
      </w:r>
      <w:r w:rsidRPr="001273F3">
        <w:rPr>
          <w:rFonts w:ascii="Arial Narrow" w:hAnsi="Arial Narrow"/>
          <w:bCs/>
          <w:sz w:val="22"/>
          <w:szCs w:val="22"/>
        </w:rPr>
        <w:t>por ciento y los precios de los servicios</w:t>
      </w:r>
      <w:r>
        <w:rPr>
          <w:rFonts w:ascii="Arial Narrow" w:hAnsi="Arial Narrow"/>
          <w:bCs/>
          <w:sz w:val="22"/>
          <w:szCs w:val="22"/>
        </w:rPr>
        <w:t xml:space="preserve"> avanzaron 0.39 por ciento, a tasa mensual.</w:t>
      </w:r>
    </w:p>
    <w:p w:rsidR="00B83815" w:rsidRPr="001273F3" w:rsidRDefault="00B83815" w:rsidP="00B83815">
      <w:pPr>
        <w:pStyle w:val="Sangradetextonormal"/>
        <w:spacing w:line="240" w:lineRule="auto"/>
        <w:ind w:firstLine="851"/>
        <w:rPr>
          <w:rFonts w:ascii="Arial Narrow" w:hAnsi="Arial Narrow"/>
          <w:bCs/>
          <w:sz w:val="22"/>
          <w:szCs w:val="22"/>
        </w:rPr>
      </w:pPr>
    </w:p>
    <w:p w:rsidR="00B83815" w:rsidRPr="001273F3" w:rsidRDefault="00B83815" w:rsidP="00B83815">
      <w:pPr>
        <w:pStyle w:val="Sangradetextonormal"/>
        <w:ind w:firstLine="851"/>
        <w:rPr>
          <w:rFonts w:ascii="Arial Narrow" w:hAnsi="Arial Narrow"/>
          <w:bCs/>
          <w:sz w:val="22"/>
          <w:szCs w:val="22"/>
        </w:rPr>
      </w:pPr>
      <w:r w:rsidRPr="001273F3">
        <w:rPr>
          <w:rFonts w:ascii="Arial Narrow" w:hAnsi="Arial Narrow"/>
          <w:bCs/>
          <w:sz w:val="22"/>
          <w:szCs w:val="22"/>
        </w:rPr>
        <w:t>Dentro del índice de precios no subyacente, el subíndice de los</w:t>
      </w:r>
      <w:r>
        <w:rPr>
          <w:rFonts w:ascii="Arial Narrow" w:hAnsi="Arial Narrow"/>
          <w:bCs/>
          <w:sz w:val="22"/>
          <w:szCs w:val="22"/>
        </w:rPr>
        <w:t xml:space="preserve"> productos agropecuarios subió 2.33 por ciento, mientras</w:t>
      </w:r>
      <w:r w:rsidRPr="001273F3">
        <w:rPr>
          <w:rFonts w:ascii="Arial Narrow" w:hAnsi="Arial Narrow"/>
          <w:bCs/>
          <w:sz w:val="22"/>
          <w:szCs w:val="22"/>
        </w:rPr>
        <w:t xml:space="preserve"> que los precios de los energéticos y tarifas aut</w:t>
      </w:r>
      <w:r>
        <w:rPr>
          <w:rFonts w:ascii="Arial Narrow" w:hAnsi="Arial Narrow"/>
          <w:bCs/>
          <w:sz w:val="22"/>
          <w:szCs w:val="22"/>
        </w:rPr>
        <w:t>orizadas por el gobierno disminuyeron 0.39</w:t>
      </w:r>
      <w:r w:rsidRPr="001273F3">
        <w:rPr>
          <w:rFonts w:ascii="Arial Narrow" w:hAnsi="Arial Narrow"/>
          <w:bCs/>
          <w:sz w:val="22"/>
          <w:szCs w:val="22"/>
        </w:rPr>
        <w:t xml:space="preserve"> por ciento.</w:t>
      </w:r>
    </w:p>
    <w:p w:rsidR="00B83815" w:rsidRPr="001273F3" w:rsidRDefault="00B83815" w:rsidP="00B83815">
      <w:pPr>
        <w:pStyle w:val="Sangradetextonormal"/>
        <w:ind w:firstLine="851"/>
        <w:rPr>
          <w:rFonts w:ascii="Arial Narrow" w:hAnsi="Arial Narrow"/>
          <w:bCs/>
          <w:sz w:val="22"/>
          <w:szCs w:val="22"/>
        </w:rPr>
      </w:pPr>
    </w:p>
    <w:p w:rsidR="00B83815" w:rsidRDefault="00B83815" w:rsidP="00B83815">
      <w:pPr>
        <w:pStyle w:val="Sangradetextonormal"/>
        <w:ind w:firstLine="708"/>
        <w:rPr>
          <w:rFonts w:ascii="Arial Narrow" w:hAnsi="Arial Narrow"/>
          <w:sz w:val="22"/>
          <w:szCs w:val="22"/>
        </w:rPr>
      </w:pPr>
      <w:r w:rsidRPr="00814F33">
        <w:rPr>
          <w:rFonts w:ascii="Arial Narrow" w:hAnsi="Arial Narrow"/>
          <w:sz w:val="22"/>
          <w:szCs w:val="22"/>
        </w:rPr>
        <w:t>En la gráfica que se presenta a continuación se muestra la evolución que ha tenido la inflación en los últimos tres años, de conformidad con los resultados comunicados recientemente por el Banco de México en el informe relativo al cuarto trime</w:t>
      </w:r>
      <w:r>
        <w:rPr>
          <w:rFonts w:ascii="Arial Narrow" w:hAnsi="Arial Narrow"/>
          <w:sz w:val="22"/>
          <w:szCs w:val="22"/>
        </w:rPr>
        <w:t>stre de 2015</w:t>
      </w:r>
      <w:r w:rsidRPr="00814F33">
        <w:rPr>
          <w:rFonts w:ascii="Arial Narrow" w:hAnsi="Arial Narrow"/>
          <w:sz w:val="22"/>
          <w:szCs w:val="22"/>
        </w:rPr>
        <w:t>:</w:t>
      </w:r>
    </w:p>
    <w:p w:rsidR="00B83815" w:rsidRDefault="00B83815" w:rsidP="00B83815">
      <w:pPr>
        <w:pStyle w:val="Sangradetextonormal"/>
        <w:ind w:firstLine="708"/>
        <w:rPr>
          <w:rFonts w:ascii="Arial Narrow" w:hAnsi="Arial Narrow"/>
          <w:sz w:val="22"/>
          <w:szCs w:val="22"/>
        </w:rPr>
      </w:pPr>
    </w:p>
    <w:p w:rsidR="00B83815" w:rsidRDefault="00B83815" w:rsidP="00B83815">
      <w:pPr>
        <w:pStyle w:val="Sangradetextonormal"/>
        <w:ind w:firstLine="708"/>
        <w:rPr>
          <w:rFonts w:ascii="Arial Narrow" w:hAnsi="Arial Narrow"/>
          <w:sz w:val="22"/>
          <w:szCs w:val="22"/>
        </w:rPr>
      </w:pPr>
    </w:p>
    <w:p w:rsidR="00B83815" w:rsidRPr="00992D26" w:rsidRDefault="00B83815" w:rsidP="00B83815">
      <w:pPr>
        <w:pStyle w:val="Sangradetextonormal"/>
        <w:ind w:firstLine="708"/>
        <w:rPr>
          <w:rFonts w:ascii="Arial Narrow" w:hAnsi="Arial Narrow"/>
          <w:sz w:val="22"/>
          <w:szCs w:val="22"/>
        </w:rPr>
      </w:pPr>
      <w:r w:rsidRPr="00523FCA">
        <w:rPr>
          <w:noProof/>
          <w:lang w:val="es-MX" w:eastAsia="es-MX"/>
        </w:rPr>
        <w:drawing>
          <wp:anchor distT="0" distB="0" distL="114300" distR="114300" simplePos="0" relativeHeight="251663360" behindDoc="0" locked="0" layoutInCell="1" allowOverlap="1" wp14:anchorId="53C8C453" wp14:editId="582096B7">
            <wp:simplePos x="0" y="0"/>
            <wp:positionH relativeFrom="column">
              <wp:posOffset>225425</wp:posOffset>
            </wp:positionH>
            <wp:positionV relativeFrom="paragraph">
              <wp:posOffset>27305</wp:posOffset>
            </wp:positionV>
            <wp:extent cx="5612130" cy="3041015"/>
            <wp:effectExtent l="0" t="0" r="7620" b="698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612130" cy="3041015"/>
                    </a:xfrm>
                    <a:prstGeom prst="rect">
                      <a:avLst/>
                    </a:prstGeom>
                  </pic:spPr>
                </pic:pic>
              </a:graphicData>
            </a:graphic>
            <wp14:sizeRelH relativeFrom="page">
              <wp14:pctWidth>0</wp14:pctWidth>
            </wp14:sizeRelH>
            <wp14:sizeRelV relativeFrom="page">
              <wp14:pctHeight>0</wp14:pctHeight>
            </wp14:sizeRelV>
          </wp:anchor>
        </w:drawing>
      </w:r>
    </w:p>
    <w:p w:rsidR="00B83815" w:rsidRPr="00992D26" w:rsidRDefault="00B83815" w:rsidP="00B83815">
      <w:pPr>
        <w:pStyle w:val="Sangradetextonormal"/>
        <w:ind w:firstLine="708"/>
        <w:rPr>
          <w:rFonts w:ascii="Arial Narrow" w:hAnsi="Arial Narrow"/>
          <w:sz w:val="25"/>
        </w:rPr>
      </w:pPr>
    </w:p>
    <w:p w:rsidR="00B83815" w:rsidRPr="00992D26" w:rsidRDefault="00B83815" w:rsidP="00B83815">
      <w:pPr>
        <w:pStyle w:val="Sangradetextonormal"/>
        <w:ind w:firstLine="708"/>
        <w:rPr>
          <w:rFonts w:ascii="Arial Narrow" w:hAnsi="Arial Narrow"/>
          <w:noProof/>
          <w:lang w:val="es-MX" w:eastAsia="es-MX"/>
        </w:rPr>
      </w:pPr>
    </w:p>
    <w:p w:rsidR="00B83815" w:rsidRPr="00992D26" w:rsidRDefault="00B83815" w:rsidP="00B83815">
      <w:pPr>
        <w:pStyle w:val="Sangradetextonormal"/>
        <w:ind w:firstLine="708"/>
        <w:rPr>
          <w:rFonts w:ascii="Arial Narrow" w:hAnsi="Arial Narrow"/>
          <w:b/>
          <w:bCs/>
          <w:sz w:val="32"/>
          <w:szCs w:val="32"/>
        </w:rPr>
      </w:pPr>
    </w:p>
    <w:p w:rsidR="00B83815" w:rsidRPr="00992D26" w:rsidRDefault="00B83815" w:rsidP="00B83815">
      <w:pPr>
        <w:pStyle w:val="Sangradetextonormal"/>
        <w:ind w:left="540" w:firstLine="0"/>
        <w:jc w:val="left"/>
        <w:rPr>
          <w:rFonts w:ascii="Arial Narrow" w:hAnsi="Arial Narrow"/>
          <w:b/>
          <w:bCs/>
          <w:sz w:val="32"/>
          <w:szCs w:val="32"/>
        </w:rPr>
      </w:pPr>
    </w:p>
    <w:p w:rsidR="00B83815" w:rsidRDefault="00B83815" w:rsidP="00B83815">
      <w:pPr>
        <w:pStyle w:val="Sangradetextonormal"/>
        <w:ind w:left="540" w:firstLine="0"/>
        <w:jc w:val="left"/>
        <w:rPr>
          <w:rFonts w:ascii="Arial Narrow" w:hAnsi="Arial Narrow"/>
          <w:b/>
          <w:bCs/>
          <w:sz w:val="32"/>
          <w:szCs w:val="32"/>
        </w:rPr>
      </w:pPr>
    </w:p>
    <w:p w:rsidR="00B83815" w:rsidRDefault="00B83815" w:rsidP="00B83815">
      <w:pPr>
        <w:pStyle w:val="Sangradetextonormal"/>
        <w:ind w:left="540" w:firstLine="0"/>
        <w:jc w:val="left"/>
        <w:rPr>
          <w:rFonts w:ascii="Arial Narrow" w:hAnsi="Arial Narrow"/>
          <w:b/>
          <w:bCs/>
          <w:sz w:val="32"/>
          <w:szCs w:val="32"/>
        </w:rPr>
      </w:pPr>
    </w:p>
    <w:p w:rsidR="00B83815" w:rsidRDefault="00B83815" w:rsidP="00B83815">
      <w:pPr>
        <w:pStyle w:val="Sangradetextonormal"/>
        <w:ind w:left="540" w:firstLine="0"/>
        <w:jc w:val="left"/>
        <w:rPr>
          <w:rFonts w:ascii="Arial Narrow" w:hAnsi="Arial Narrow"/>
          <w:b/>
          <w:bCs/>
          <w:sz w:val="32"/>
          <w:szCs w:val="32"/>
        </w:rPr>
      </w:pPr>
    </w:p>
    <w:p w:rsidR="00B83815" w:rsidRPr="00992D26" w:rsidRDefault="00B83815" w:rsidP="00B83815">
      <w:pPr>
        <w:pStyle w:val="Sangradetextonormal"/>
        <w:ind w:left="540" w:firstLine="0"/>
        <w:jc w:val="left"/>
        <w:rPr>
          <w:rFonts w:ascii="Arial Narrow" w:hAnsi="Arial Narrow"/>
          <w:b/>
          <w:bCs/>
          <w:sz w:val="32"/>
          <w:szCs w:val="32"/>
        </w:rPr>
      </w:pPr>
    </w:p>
    <w:p w:rsidR="00B83815" w:rsidRPr="00992D26" w:rsidRDefault="00B83815" w:rsidP="00B83815">
      <w:pPr>
        <w:pStyle w:val="Sangradetextonormal"/>
        <w:ind w:left="540" w:firstLine="0"/>
        <w:jc w:val="left"/>
        <w:rPr>
          <w:rFonts w:ascii="Arial Narrow" w:hAnsi="Arial Narrow"/>
          <w:b/>
          <w:bCs/>
          <w:sz w:val="32"/>
          <w:szCs w:val="32"/>
        </w:rPr>
      </w:pPr>
    </w:p>
    <w:p w:rsidR="00B83815" w:rsidRPr="00814F33" w:rsidRDefault="00B83815" w:rsidP="00B83815">
      <w:pPr>
        <w:pStyle w:val="Sangradetextonormal"/>
        <w:ind w:left="900" w:firstLine="168"/>
        <w:jc w:val="left"/>
        <w:rPr>
          <w:rFonts w:ascii="Arial Narrow" w:hAnsi="Arial Narrow"/>
          <w:bCs/>
          <w:sz w:val="20"/>
        </w:rPr>
      </w:pPr>
      <w:r w:rsidRPr="00814F33">
        <w:rPr>
          <w:rFonts w:ascii="Arial Narrow" w:hAnsi="Arial Narrow"/>
          <w:bCs/>
          <w:sz w:val="20"/>
        </w:rPr>
        <w:t>Fuente: Banco de México con información de INEGI</w:t>
      </w:r>
    </w:p>
    <w:p w:rsidR="00B83815" w:rsidRDefault="00B83815" w:rsidP="00B83815">
      <w:pPr>
        <w:pStyle w:val="Sangradetextonormal"/>
        <w:ind w:left="540" w:firstLine="0"/>
        <w:jc w:val="left"/>
        <w:rPr>
          <w:rFonts w:ascii="Arial Narrow" w:hAnsi="Arial Narrow"/>
          <w:b/>
          <w:bCs/>
          <w:sz w:val="20"/>
        </w:rPr>
      </w:pPr>
    </w:p>
    <w:p w:rsidR="00B83815" w:rsidRPr="00814F33" w:rsidRDefault="00B83815" w:rsidP="00B83815">
      <w:pPr>
        <w:pStyle w:val="Sangradetextonormal"/>
        <w:ind w:left="540" w:firstLine="0"/>
        <w:jc w:val="left"/>
        <w:rPr>
          <w:rFonts w:ascii="Arial Narrow" w:hAnsi="Arial Narrow"/>
          <w:b/>
          <w:bCs/>
          <w:sz w:val="20"/>
        </w:rPr>
      </w:pPr>
    </w:p>
    <w:p w:rsidR="00B83815" w:rsidRPr="00992D26" w:rsidRDefault="00B83815" w:rsidP="00B83815">
      <w:pPr>
        <w:pStyle w:val="Sangradetextonormal"/>
        <w:numPr>
          <w:ilvl w:val="0"/>
          <w:numId w:val="7"/>
        </w:numPr>
        <w:tabs>
          <w:tab w:val="clear" w:pos="1068"/>
          <w:tab w:val="num" w:pos="900"/>
        </w:tabs>
        <w:ind w:hanging="528"/>
        <w:jc w:val="left"/>
        <w:rPr>
          <w:rFonts w:ascii="Arial Narrow" w:hAnsi="Arial Narrow"/>
          <w:b/>
          <w:bCs/>
          <w:szCs w:val="28"/>
        </w:rPr>
      </w:pPr>
      <w:r w:rsidRPr="00992D26">
        <w:rPr>
          <w:rFonts w:ascii="Arial Narrow" w:hAnsi="Arial Narrow"/>
          <w:b/>
          <w:bCs/>
          <w:szCs w:val="28"/>
        </w:rPr>
        <w:lastRenderedPageBreak/>
        <w:t>Tasas de Interés</w:t>
      </w:r>
    </w:p>
    <w:p w:rsidR="00B83815" w:rsidRPr="00992D26" w:rsidRDefault="00B83815" w:rsidP="00B83815">
      <w:pPr>
        <w:pStyle w:val="Sangradetextonormal"/>
        <w:ind w:firstLine="876"/>
        <w:rPr>
          <w:rFonts w:ascii="Arial Narrow" w:hAnsi="Arial Narrow"/>
          <w:sz w:val="25"/>
        </w:rPr>
      </w:pPr>
    </w:p>
    <w:p w:rsidR="00B83815" w:rsidRPr="00992D26" w:rsidRDefault="00B83815" w:rsidP="00B83815">
      <w:pPr>
        <w:pStyle w:val="Sangradetextonormal"/>
        <w:ind w:firstLine="876"/>
        <w:rPr>
          <w:rFonts w:ascii="Arial Narrow" w:hAnsi="Arial Narrow"/>
          <w:sz w:val="22"/>
          <w:szCs w:val="22"/>
        </w:rPr>
      </w:pPr>
      <w:r w:rsidRPr="00992D26">
        <w:rPr>
          <w:rFonts w:ascii="Arial Narrow" w:hAnsi="Arial Narrow"/>
          <w:sz w:val="22"/>
          <w:szCs w:val="22"/>
        </w:rPr>
        <w:t>En reunión celebrada el 17 de Diciembre de 2015</w:t>
      </w:r>
      <w:r>
        <w:rPr>
          <w:rFonts w:ascii="Arial Narrow" w:hAnsi="Arial Narrow"/>
          <w:sz w:val="22"/>
          <w:szCs w:val="22"/>
        </w:rPr>
        <w:t xml:space="preserve"> </w:t>
      </w:r>
      <w:r w:rsidRPr="00992D26">
        <w:rPr>
          <w:rFonts w:ascii="Arial Narrow" w:hAnsi="Arial Narrow"/>
          <w:sz w:val="22"/>
          <w:szCs w:val="22"/>
        </w:rPr>
        <w:t>la Junta de Gobierno del Banco de México decidió por unanimidad incrementar en 25 puntos base el objetivo para la Tasa de Interés Interbancaria a un día, para ubicarla en 3.25 por ciento, en respuesta principalmente al incremento de 25 puntos base en el rango objetivo para la tasa de referencia de la Reserva Federal (FED) de los Estados Unidos de América</w:t>
      </w:r>
      <w:r>
        <w:rPr>
          <w:rFonts w:ascii="Arial Narrow" w:hAnsi="Arial Narrow"/>
          <w:sz w:val="22"/>
          <w:szCs w:val="22"/>
        </w:rPr>
        <w:t>.</w:t>
      </w:r>
    </w:p>
    <w:p w:rsidR="00B83815" w:rsidRPr="00992D26" w:rsidRDefault="00B83815" w:rsidP="00B83815">
      <w:pPr>
        <w:pStyle w:val="Sangradetextonormal"/>
        <w:ind w:firstLine="876"/>
        <w:rPr>
          <w:rFonts w:ascii="Arial Narrow" w:hAnsi="Arial Narrow"/>
          <w:sz w:val="22"/>
          <w:szCs w:val="22"/>
        </w:rPr>
      </w:pPr>
    </w:p>
    <w:p w:rsidR="00B83815" w:rsidRPr="00992D26" w:rsidRDefault="00B83815" w:rsidP="00B83815">
      <w:pPr>
        <w:pStyle w:val="Sangradetextonormal"/>
        <w:ind w:firstLine="876"/>
        <w:rPr>
          <w:rFonts w:ascii="Arial Narrow" w:hAnsi="Arial Narrow"/>
          <w:sz w:val="22"/>
          <w:szCs w:val="22"/>
        </w:rPr>
      </w:pPr>
      <w:r w:rsidRPr="00992D26">
        <w:rPr>
          <w:rFonts w:ascii="Arial Narrow" w:hAnsi="Arial Narrow"/>
          <w:sz w:val="22"/>
          <w:szCs w:val="22"/>
        </w:rPr>
        <w:t xml:space="preserve">La decisión de política monetaria tomó en cuenta que el aumento realizado por la FED tiene implicaciones importantes para nuestro país, precisándose que el no ajustar la tasa de referencia en México podría generar una depreciación adicional del peso que fuera desordenada y que pudiera afectar a la inflación y a sus expectativas. </w:t>
      </w:r>
    </w:p>
    <w:p w:rsidR="00B83815" w:rsidRPr="00992D26" w:rsidRDefault="00B83815" w:rsidP="00B83815">
      <w:pPr>
        <w:pStyle w:val="Sangradetextonormal"/>
        <w:ind w:firstLine="876"/>
        <w:rPr>
          <w:rFonts w:ascii="Arial Narrow" w:hAnsi="Arial Narrow"/>
          <w:sz w:val="22"/>
          <w:szCs w:val="22"/>
        </w:rPr>
      </w:pPr>
    </w:p>
    <w:p w:rsidR="00B83815" w:rsidRPr="00992D26" w:rsidRDefault="00B83815" w:rsidP="00B83815">
      <w:pPr>
        <w:pStyle w:val="Sangradetextonormal"/>
        <w:ind w:firstLine="876"/>
        <w:rPr>
          <w:rFonts w:ascii="Arial Narrow" w:hAnsi="Arial Narrow"/>
          <w:sz w:val="22"/>
          <w:szCs w:val="22"/>
        </w:rPr>
      </w:pPr>
      <w:r w:rsidRPr="00992D26">
        <w:rPr>
          <w:rFonts w:ascii="Arial Narrow" w:hAnsi="Arial Narrow"/>
          <w:sz w:val="22"/>
          <w:szCs w:val="22"/>
        </w:rPr>
        <w:t>En el siguiente cuadro se reportan los resultados de las Decisiones de Política Monetaria acontecidas en el Ejercicio 2015:</w:t>
      </w:r>
    </w:p>
    <w:p w:rsidR="00B83815" w:rsidRPr="00992D26" w:rsidRDefault="00303B1A" w:rsidP="00B83815">
      <w:pPr>
        <w:pStyle w:val="Sangradetextonormal"/>
        <w:ind w:firstLine="876"/>
        <w:rPr>
          <w:rFonts w:ascii="Arial Narrow" w:hAnsi="Arial Narrow"/>
          <w:sz w:val="25"/>
        </w:rPr>
      </w:pPr>
      <w:r>
        <w:rPr>
          <w:rFonts w:ascii="Arial Narrow" w:hAnsi="Arial Narrow"/>
          <w:noProof/>
          <w:sz w:val="2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pt;margin-top:20.85pt;width:457.55pt;height:189.8pt;z-index:251662336;mso-position-horizontal-relative:text;mso-position-vertical-relative:text">
            <v:imagedata r:id="rId10" o:title=""/>
          </v:shape>
          <o:OLEObject Type="Embed" ProgID="Excel.Sheet.12" ShapeID="_x0000_s1027" DrawAspect="Content" ObjectID="_1521633386" r:id="rId11"/>
        </w:pict>
      </w:r>
    </w:p>
    <w:p w:rsidR="00B83815" w:rsidRPr="00992D26" w:rsidRDefault="00B83815" w:rsidP="00B83815">
      <w:pPr>
        <w:pStyle w:val="Sangradetextonormal"/>
        <w:ind w:firstLine="876"/>
        <w:rPr>
          <w:rFonts w:ascii="Arial Narrow" w:hAnsi="Arial Narrow"/>
          <w:sz w:val="25"/>
          <w:lang w:val="es-MX"/>
        </w:rPr>
      </w:pPr>
    </w:p>
    <w:p w:rsidR="00B83815" w:rsidRPr="00992D26" w:rsidRDefault="00B83815" w:rsidP="00B83815">
      <w:pPr>
        <w:pStyle w:val="Sangradetextonormal"/>
        <w:ind w:firstLine="876"/>
        <w:rPr>
          <w:rFonts w:ascii="Arial Narrow" w:hAnsi="Arial Narrow"/>
          <w:sz w:val="25"/>
        </w:rPr>
      </w:pPr>
    </w:p>
    <w:p w:rsidR="00B83815" w:rsidRPr="00992D26" w:rsidRDefault="00B83815" w:rsidP="00B83815">
      <w:pPr>
        <w:pStyle w:val="Sangradetextonormal"/>
        <w:ind w:firstLine="876"/>
        <w:rPr>
          <w:rFonts w:ascii="Arial Narrow" w:hAnsi="Arial Narrow"/>
          <w:sz w:val="25"/>
        </w:rPr>
      </w:pPr>
    </w:p>
    <w:p w:rsidR="00B83815" w:rsidRPr="00992D26" w:rsidRDefault="00B83815" w:rsidP="00B83815">
      <w:pPr>
        <w:pStyle w:val="Sangradetextonormal"/>
        <w:ind w:firstLine="876"/>
        <w:rPr>
          <w:rFonts w:ascii="Arial Narrow" w:hAnsi="Arial Narrow"/>
          <w:sz w:val="25"/>
        </w:rPr>
      </w:pPr>
    </w:p>
    <w:p w:rsidR="00B83815" w:rsidRPr="00992D26" w:rsidRDefault="00B83815" w:rsidP="00B83815">
      <w:pPr>
        <w:pStyle w:val="Sangradetextonormal"/>
        <w:ind w:firstLine="876"/>
        <w:rPr>
          <w:rFonts w:ascii="Arial Narrow" w:hAnsi="Arial Narrow"/>
          <w:sz w:val="25"/>
        </w:rPr>
      </w:pPr>
    </w:p>
    <w:p w:rsidR="00B83815" w:rsidRPr="00992D26" w:rsidRDefault="00B83815" w:rsidP="00B83815">
      <w:pPr>
        <w:pStyle w:val="Sangradetextonormal"/>
        <w:ind w:firstLine="876"/>
        <w:rPr>
          <w:rFonts w:ascii="Arial Narrow" w:hAnsi="Arial Narrow"/>
          <w:sz w:val="25"/>
        </w:rPr>
      </w:pPr>
    </w:p>
    <w:p w:rsidR="00B83815" w:rsidRPr="00992D26" w:rsidRDefault="00B83815" w:rsidP="00B83815">
      <w:pPr>
        <w:pStyle w:val="Sangradetextonormal"/>
        <w:ind w:firstLine="876"/>
        <w:rPr>
          <w:rFonts w:ascii="Arial Narrow" w:hAnsi="Arial Narrow"/>
          <w:sz w:val="25"/>
        </w:rPr>
      </w:pPr>
    </w:p>
    <w:p w:rsidR="00B83815" w:rsidRPr="00992D26" w:rsidRDefault="00B83815" w:rsidP="00B83815">
      <w:pPr>
        <w:pStyle w:val="Sangradetextonormal"/>
        <w:ind w:firstLine="876"/>
        <w:rPr>
          <w:rFonts w:ascii="Arial Narrow" w:hAnsi="Arial Narrow"/>
          <w:sz w:val="25"/>
        </w:rPr>
      </w:pPr>
    </w:p>
    <w:p w:rsidR="00B83815" w:rsidRPr="00992D26" w:rsidRDefault="00B83815" w:rsidP="00B83815">
      <w:pPr>
        <w:pStyle w:val="Sangradetextonormal"/>
        <w:ind w:firstLine="876"/>
        <w:rPr>
          <w:rFonts w:ascii="Arial Narrow" w:hAnsi="Arial Narrow"/>
          <w:sz w:val="25"/>
        </w:rPr>
      </w:pPr>
    </w:p>
    <w:p w:rsidR="00B83815" w:rsidRDefault="00B83815" w:rsidP="00B83815">
      <w:pPr>
        <w:pStyle w:val="Sangradetextonormal"/>
        <w:ind w:firstLine="876"/>
        <w:rPr>
          <w:rFonts w:ascii="Arial Narrow" w:hAnsi="Arial Narrow"/>
          <w:sz w:val="25"/>
        </w:rPr>
      </w:pPr>
      <w:r w:rsidRPr="00992D26">
        <w:rPr>
          <w:rFonts w:ascii="Arial Narrow" w:hAnsi="Arial Narrow"/>
          <w:sz w:val="25"/>
        </w:rPr>
        <w:t xml:space="preserve">   </w:t>
      </w:r>
    </w:p>
    <w:p w:rsidR="00B83815" w:rsidRPr="00992D26" w:rsidRDefault="00B83815" w:rsidP="00B83815">
      <w:pPr>
        <w:pStyle w:val="Sangradetextonormal"/>
        <w:ind w:firstLine="876"/>
        <w:rPr>
          <w:rFonts w:ascii="Arial Narrow" w:hAnsi="Arial Narrow"/>
          <w:sz w:val="22"/>
          <w:szCs w:val="22"/>
        </w:rPr>
      </w:pPr>
      <w:r w:rsidRPr="00992D26">
        <w:rPr>
          <w:rFonts w:ascii="Arial Narrow" w:hAnsi="Arial Narrow"/>
          <w:sz w:val="22"/>
          <w:szCs w:val="22"/>
        </w:rPr>
        <w:t>Por otra parte, la tasa primaria de Cetes a 28 días c</w:t>
      </w:r>
      <w:r>
        <w:rPr>
          <w:rFonts w:ascii="Arial Narrow" w:hAnsi="Arial Narrow"/>
          <w:sz w:val="22"/>
          <w:szCs w:val="22"/>
        </w:rPr>
        <w:t>erró el cuarto trimestre de 2015 en 3.05</w:t>
      </w:r>
      <w:r w:rsidRPr="00992D26">
        <w:rPr>
          <w:rFonts w:ascii="Arial Narrow" w:hAnsi="Arial Narrow"/>
          <w:sz w:val="22"/>
          <w:szCs w:val="22"/>
        </w:rPr>
        <w:t xml:space="preserve"> por ciento, lo </w:t>
      </w:r>
      <w:r>
        <w:rPr>
          <w:rFonts w:ascii="Arial Narrow" w:hAnsi="Arial Narrow"/>
          <w:sz w:val="22"/>
          <w:szCs w:val="22"/>
        </w:rPr>
        <w:t>que significó un aumento de 3</w:t>
      </w:r>
      <w:r w:rsidRPr="00992D26">
        <w:rPr>
          <w:rFonts w:ascii="Arial Narrow" w:hAnsi="Arial Narrow"/>
          <w:sz w:val="22"/>
          <w:szCs w:val="22"/>
        </w:rPr>
        <w:t xml:space="preserve"> puntos base respecto al cierre del trimestre anterior. En contraste, la </w:t>
      </w:r>
      <w:r w:rsidRPr="00992D26">
        <w:rPr>
          <w:rFonts w:ascii="Arial Narrow" w:hAnsi="Arial Narrow"/>
          <w:sz w:val="22"/>
          <w:szCs w:val="22"/>
        </w:rPr>
        <w:lastRenderedPageBreak/>
        <w:t>tasa primaria</w:t>
      </w:r>
      <w:r>
        <w:rPr>
          <w:rFonts w:ascii="Arial Narrow" w:hAnsi="Arial Narrow"/>
          <w:sz w:val="22"/>
          <w:szCs w:val="22"/>
        </w:rPr>
        <w:t xml:space="preserve"> de Cetes a un año cerró en 3.68 por ciento, </w:t>
      </w:r>
      <w:r w:rsidRPr="00992D26">
        <w:rPr>
          <w:rFonts w:ascii="Arial Narrow" w:hAnsi="Arial Narrow"/>
          <w:sz w:val="22"/>
          <w:szCs w:val="22"/>
        </w:rPr>
        <w:t xml:space="preserve">3 puntos base por </w:t>
      </w:r>
      <w:r>
        <w:rPr>
          <w:rFonts w:ascii="Arial Narrow" w:hAnsi="Arial Narrow"/>
          <w:sz w:val="22"/>
          <w:szCs w:val="22"/>
        </w:rPr>
        <w:t>debajo</w:t>
      </w:r>
      <w:r w:rsidRPr="00992D26">
        <w:rPr>
          <w:rFonts w:ascii="Arial Narrow" w:hAnsi="Arial Narrow"/>
          <w:sz w:val="22"/>
          <w:szCs w:val="22"/>
        </w:rPr>
        <w:t xml:space="preserve"> del cierre del trimestre previo. Adicionalmente, las tasas primarias de los Bonos a 3 y 5 </w:t>
      </w:r>
      <w:r>
        <w:rPr>
          <w:rFonts w:ascii="Arial Narrow" w:hAnsi="Arial Narrow"/>
          <w:sz w:val="22"/>
          <w:szCs w:val="22"/>
        </w:rPr>
        <w:t>años aumentaron en 1 y 9</w:t>
      </w:r>
      <w:r w:rsidRPr="00992D26">
        <w:rPr>
          <w:rFonts w:ascii="Arial Narrow" w:hAnsi="Arial Narrow"/>
          <w:sz w:val="22"/>
          <w:szCs w:val="22"/>
        </w:rPr>
        <w:t xml:space="preserve"> puntos base, respectivamente. Asimismo, las tasas de largo plazo de 10 y </w:t>
      </w:r>
      <w:r>
        <w:rPr>
          <w:rFonts w:ascii="Arial Narrow" w:hAnsi="Arial Narrow"/>
          <w:sz w:val="22"/>
          <w:szCs w:val="22"/>
        </w:rPr>
        <w:t>20 años también aumentaron en 11 y 8</w:t>
      </w:r>
      <w:r w:rsidRPr="00992D26">
        <w:rPr>
          <w:rFonts w:ascii="Arial Narrow" w:hAnsi="Arial Narrow"/>
          <w:sz w:val="22"/>
          <w:szCs w:val="22"/>
        </w:rPr>
        <w:t xml:space="preserve"> puntos base, respectivamente, con r</w:t>
      </w:r>
      <w:r>
        <w:rPr>
          <w:rFonts w:ascii="Arial Narrow" w:hAnsi="Arial Narrow"/>
          <w:sz w:val="22"/>
          <w:szCs w:val="22"/>
        </w:rPr>
        <w:t>elación al nivel observado al cierre de septiembre de 2015</w:t>
      </w:r>
      <w:r w:rsidRPr="00992D26">
        <w:rPr>
          <w:rFonts w:ascii="Arial Narrow" w:hAnsi="Arial Narrow"/>
          <w:sz w:val="22"/>
          <w:szCs w:val="22"/>
        </w:rPr>
        <w:t>.</w:t>
      </w:r>
    </w:p>
    <w:p w:rsidR="00B83815" w:rsidRPr="00992D26" w:rsidRDefault="00B83815" w:rsidP="00B83815">
      <w:pPr>
        <w:pStyle w:val="Sangradetextonormal"/>
        <w:ind w:left="539" w:firstLine="0"/>
        <w:jc w:val="left"/>
        <w:rPr>
          <w:rFonts w:ascii="Arial Narrow" w:hAnsi="Arial Narrow"/>
          <w:sz w:val="25"/>
        </w:rPr>
      </w:pPr>
    </w:p>
    <w:p w:rsidR="00B83815" w:rsidRPr="004F5037" w:rsidRDefault="00B83815" w:rsidP="00B83815">
      <w:pPr>
        <w:pStyle w:val="Sangradetextonormal"/>
        <w:numPr>
          <w:ilvl w:val="0"/>
          <w:numId w:val="7"/>
        </w:numPr>
        <w:tabs>
          <w:tab w:val="clear" w:pos="1068"/>
          <w:tab w:val="num" w:pos="900"/>
        </w:tabs>
        <w:ind w:hanging="528"/>
        <w:jc w:val="left"/>
        <w:rPr>
          <w:rFonts w:ascii="Arial Narrow" w:hAnsi="Arial Narrow"/>
          <w:b/>
          <w:bCs/>
          <w:szCs w:val="28"/>
        </w:rPr>
      </w:pPr>
      <w:r w:rsidRPr="004F5037">
        <w:rPr>
          <w:rFonts w:ascii="Arial Narrow" w:hAnsi="Arial Narrow"/>
          <w:b/>
          <w:bCs/>
          <w:szCs w:val="28"/>
        </w:rPr>
        <w:t xml:space="preserve">Importaciones y Exportaciones </w:t>
      </w:r>
    </w:p>
    <w:p w:rsidR="00B83815" w:rsidRPr="00992D26" w:rsidRDefault="00B83815" w:rsidP="00B83815">
      <w:pPr>
        <w:pStyle w:val="Sangradetextonormal"/>
        <w:ind w:left="539" w:firstLine="0"/>
        <w:jc w:val="left"/>
        <w:rPr>
          <w:rFonts w:ascii="Arial Narrow" w:hAnsi="Arial Narrow"/>
          <w:b/>
          <w:bCs/>
          <w:sz w:val="32"/>
          <w:szCs w:val="32"/>
        </w:rPr>
      </w:pPr>
    </w:p>
    <w:p w:rsidR="00B83815" w:rsidRPr="004F5037" w:rsidRDefault="00B83815" w:rsidP="00B83815">
      <w:pPr>
        <w:pStyle w:val="Sangradetextonormal"/>
        <w:ind w:firstLine="876"/>
        <w:rPr>
          <w:rFonts w:ascii="Arial Narrow" w:hAnsi="Arial Narrow"/>
          <w:sz w:val="22"/>
          <w:szCs w:val="22"/>
        </w:rPr>
      </w:pPr>
      <w:r w:rsidRPr="004F5037">
        <w:rPr>
          <w:rFonts w:ascii="Arial Narrow" w:hAnsi="Arial Narrow"/>
          <w:sz w:val="22"/>
          <w:szCs w:val="22"/>
        </w:rPr>
        <w:t>Durante 20</w:t>
      </w:r>
      <w:r>
        <w:rPr>
          <w:rFonts w:ascii="Arial Narrow" w:hAnsi="Arial Narrow"/>
          <w:sz w:val="22"/>
          <w:szCs w:val="22"/>
        </w:rPr>
        <w:t>15</w:t>
      </w:r>
      <w:r w:rsidRPr="004F5037">
        <w:rPr>
          <w:rFonts w:ascii="Arial Narrow" w:hAnsi="Arial Narrow"/>
          <w:sz w:val="22"/>
          <w:szCs w:val="22"/>
        </w:rPr>
        <w:t xml:space="preserve"> la balanza comercial d</w:t>
      </w:r>
      <w:r>
        <w:rPr>
          <w:rFonts w:ascii="Arial Narrow" w:hAnsi="Arial Narrow"/>
          <w:sz w:val="22"/>
          <w:szCs w:val="22"/>
        </w:rPr>
        <w:t>e México acumuló un déficit de 14 mil 460</w:t>
      </w:r>
      <w:r w:rsidRPr="004F5037">
        <w:rPr>
          <w:rFonts w:ascii="Arial Narrow" w:hAnsi="Arial Narrow"/>
          <w:sz w:val="22"/>
          <w:szCs w:val="22"/>
        </w:rPr>
        <w:t xml:space="preserve"> millones de dólares, déficit mayor en 1</w:t>
      </w:r>
      <w:r>
        <w:rPr>
          <w:rFonts w:ascii="Arial Narrow" w:hAnsi="Arial Narrow"/>
          <w:sz w:val="22"/>
          <w:szCs w:val="22"/>
        </w:rPr>
        <w:t>1 mil 612</w:t>
      </w:r>
      <w:r w:rsidRPr="004F5037">
        <w:rPr>
          <w:rFonts w:ascii="Arial Narrow" w:hAnsi="Arial Narrow"/>
          <w:sz w:val="22"/>
          <w:szCs w:val="22"/>
        </w:rPr>
        <w:t xml:space="preserve"> millones</w:t>
      </w:r>
      <w:r>
        <w:rPr>
          <w:rFonts w:ascii="Arial Narrow" w:hAnsi="Arial Narrow"/>
          <w:sz w:val="22"/>
          <w:szCs w:val="22"/>
        </w:rPr>
        <w:t xml:space="preserve"> de dólares al observado en 2014</w:t>
      </w:r>
      <w:r w:rsidRPr="004F5037">
        <w:rPr>
          <w:rFonts w:ascii="Arial Narrow" w:hAnsi="Arial Narrow"/>
          <w:sz w:val="22"/>
          <w:szCs w:val="22"/>
        </w:rPr>
        <w:t>. El déficit comercial de l</w:t>
      </w:r>
      <w:r>
        <w:rPr>
          <w:rFonts w:ascii="Arial Narrow" w:hAnsi="Arial Narrow"/>
          <w:sz w:val="22"/>
          <w:szCs w:val="22"/>
        </w:rPr>
        <w:t>a balanza no petrolera creció a un ritmo anual de 16.7</w:t>
      </w:r>
      <w:r w:rsidRPr="004F5037">
        <w:rPr>
          <w:rFonts w:ascii="Arial Narrow" w:hAnsi="Arial Narrow"/>
          <w:sz w:val="22"/>
          <w:szCs w:val="22"/>
        </w:rPr>
        <w:t xml:space="preserve"> por ciento, situá</w:t>
      </w:r>
      <w:r>
        <w:rPr>
          <w:rFonts w:ascii="Arial Narrow" w:hAnsi="Arial Narrow"/>
          <w:sz w:val="22"/>
          <w:szCs w:val="22"/>
        </w:rPr>
        <w:t>ndose en 4</w:t>
      </w:r>
      <w:r w:rsidRPr="004F5037">
        <w:rPr>
          <w:rFonts w:ascii="Arial Narrow" w:hAnsi="Arial Narrow"/>
          <w:sz w:val="22"/>
          <w:szCs w:val="22"/>
        </w:rPr>
        <w:t xml:space="preserve"> mil </w:t>
      </w:r>
      <w:r>
        <w:rPr>
          <w:rFonts w:ascii="Arial Narrow" w:hAnsi="Arial Narrow"/>
          <w:sz w:val="22"/>
          <w:szCs w:val="22"/>
        </w:rPr>
        <w:t>605</w:t>
      </w:r>
      <w:r w:rsidRPr="004F5037">
        <w:rPr>
          <w:rFonts w:ascii="Arial Narrow" w:hAnsi="Arial Narrow"/>
          <w:sz w:val="22"/>
          <w:szCs w:val="22"/>
        </w:rPr>
        <w:t xml:space="preserve"> millones de dólares.</w:t>
      </w:r>
    </w:p>
    <w:p w:rsidR="00B83815" w:rsidRPr="004F5037" w:rsidRDefault="00B83815" w:rsidP="00B83815">
      <w:pPr>
        <w:pStyle w:val="Sangradetextonormal"/>
        <w:ind w:left="539" w:firstLine="0"/>
        <w:jc w:val="left"/>
        <w:rPr>
          <w:rFonts w:ascii="Arial Narrow" w:hAnsi="Arial Narrow"/>
          <w:sz w:val="22"/>
          <w:szCs w:val="22"/>
        </w:rPr>
      </w:pPr>
    </w:p>
    <w:p w:rsidR="00B83815" w:rsidRPr="004F5037" w:rsidRDefault="00B83815" w:rsidP="00B83815">
      <w:pPr>
        <w:pStyle w:val="Sangradetextonormal"/>
        <w:ind w:firstLine="876"/>
        <w:rPr>
          <w:rFonts w:ascii="Arial Narrow" w:hAnsi="Arial Narrow"/>
          <w:sz w:val="22"/>
          <w:szCs w:val="22"/>
        </w:rPr>
      </w:pPr>
      <w:r w:rsidRPr="004F5037">
        <w:rPr>
          <w:rFonts w:ascii="Arial Narrow" w:hAnsi="Arial Narrow"/>
          <w:sz w:val="22"/>
          <w:szCs w:val="22"/>
        </w:rPr>
        <w:t xml:space="preserve">Las exportaciones de bienes </w:t>
      </w:r>
      <w:r>
        <w:rPr>
          <w:rFonts w:ascii="Arial Narrow" w:hAnsi="Arial Narrow"/>
          <w:sz w:val="22"/>
          <w:szCs w:val="22"/>
        </w:rPr>
        <w:t>se ubicaron en 380 mil 772</w:t>
      </w:r>
      <w:r w:rsidRPr="004F5037">
        <w:rPr>
          <w:rFonts w:ascii="Arial Narrow" w:hAnsi="Arial Narrow"/>
          <w:sz w:val="22"/>
          <w:szCs w:val="22"/>
        </w:rPr>
        <w:t xml:space="preserve"> millones de dólares, lo que implica una</w:t>
      </w:r>
      <w:r>
        <w:rPr>
          <w:rFonts w:ascii="Arial Narrow" w:hAnsi="Arial Narrow"/>
          <w:sz w:val="22"/>
          <w:szCs w:val="22"/>
        </w:rPr>
        <w:t xml:space="preserve"> disminuc</w:t>
      </w:r>
      <w:r w:rsidRPr="004F5037">
        <w:rPr>
          <w:rFonts w:ascii="Arial Narrow" w:hAnsi="Arial Narrow"/>
          <w:sz w:val="22"/>
          <w:szCs w:val="22"/>
        </w:rPr>
        <w:t xml:space="preserve">ión </w:t>
      </w:r>
      <w:r>
        <w:rPr>
          <w:rFonts w:ascii="Arial Narrow" w:hAnsi="Arial Narrow"/>
          <w:sz w:val="22"/>
          <w:szCs w:val="22"/>
        </w:rPr>
        <w:t>anual de 4.1</w:t>
      </w:r>
      <w:r w:rsidRPr="004F5037">
        <w:rPr>
          <w:rFonts w:ascii="Arial Narrow" w:hAnsi="Arial Narrow"/>
          <w:sz w:val="22"/>
          <w:szCs w:val="22"/>
        </w:rPr>
        <w:t xml:space="preserve"> por ciento. Por componentes, las exportaciones agropecuarias y manufactureras crecie</w:t>
      </w:r>
      <w:r>
        <w:rPr>
          <w:rFonts w:ascii="Arial Narrow" w:hAnsi="Arial Narrow"/>
          <w:sz w:val="22"/>
          <w:szCs w:val="22"/>
        </w:rPr>
        <w:t>ron a tasas anuales de 5.6 y 0.8</w:t>
      </w:r>
      <w:r w:rsidRPr="004F5037">
        <w:rPr>
          <w:rFonts w:ascii="Arial Narrow" w:hAnsi="Arial Narrow"/>
          <w:sz w:val="22"/>
          <w:szCs w:val="22"/>
        </w:rPr>
        <w:t xml:space="preserve"> por ciento, respectivamente, en tanto que</w:t>
      </w:r>
      <w:r>
        <w:rPr>
          <w:rFonts w:ascii="Arial Narrow" w:hAnsi="Arial Narrow"/>
          <w:sz w:val="22"/>
          <w:szCs w:val="22"/>
        </w:rPr>
        <w:t xml:space="preserve"> las extractivas se contrajeron 11.0 por ciento.</w:t>
      </w:r>
      <w:r w:rsidRPr="004F5037">
        <w:rPr>
          <w:rFonts w:ascii="Arial Narrow" w:hAnsi="Arial Narrow"/>
          <w:sz w:val="22"/>
          <w:szCs w:val="22"/>
        </w:rPr>
        <w:t xml:space="preserve"> </w:t>
      </w:r>
      <w:r>
        <w:rPr>
          <w:rFonts w:ascii="Arial Narrow" w:hAnsi="Arial Narrow"/>
          <w:sz w:val="22"/>
          <w:szCs w:val="22"/>
        </w:rPr>
        <w:t xml:space="preserve"> Así mismo, l</w:t>
      </w:r>
      <w:r w:rsidRPr="004F5037">
        <w:rPr>
          <w:rFonts w:ascii="Arial Narrow" w:hAnsi="Arial Narrow"/>
          <w:sz w:val="22"/>
          <w:szCs w:val="22"/>
        </w:rPr>
        <w:t>as ventas al exterior de prod</w:t>
      </w:r>
      <w:r>
        <w:rPr>
          <w:rFonts w:ascii="Arial Narrow" w:hAnsi="Arial Narrow"/>
          <w:sz w:val="22"/>
          <w:szCs w:val="22"/>
        </w:rPr>
        <w:t>uctos petroleros disminuyeron 45.0</w:t>
      </w:r>
      <w:r w:rsidRPr="004F5037">
        <w:rPr>
          <w:rFonts w:ascii="Arial Narrow" w:hAnsi="Arial Narrow"/>
          <w:sz w:val="22"/>
          <w:szCs w:val="22"/>
        </w:rPr>
        <w:t xml:space="preserve"> por ciento.</w:t>
      </w:r>
    </w:p>
    <w:p w:rsidR="00B83815" w:rsidRPr="004F5037" w:rsidRDefault="00B83815" w:rsidP="00B83815">
      <w:pPr>
        <w:pStyle w:val="Sangradetextonormal"/>
        <w:ind w:left="539" w:firstLine="0"/>
        <w:jc w:val="left"/>
        <w:rPr>
          <w:rFonts w:ascii="Arial Narrow" w:hAnsi="Arial Narrow"/>
          <w:sz w:val="22"/>
          <w:szCs w:val="22"/>
        </w:rPr>
      </w:pPr>
    </w:p>
    <w:p w:rsidR="00B83815" w:rsidRPr="004F5037" w:rsidRDefault="00B83815" w:rsidP="00B83815">
      <w:pPr>
        <w:pStyle w:val="Sangradetextonormal"/>
        <w:ind w:firstLine="876"/>
        <w:rPr>
          <w:rFonts w:ascii="Arial Narrow" w:hAnsi="Arial Narrow"/>
          <w:sz w:val="22"/>
          <w:szCs w:val="22"/>
        </w:rPr>
      </w:pPr>
      <w:r w:rsidRPr="004F5037">
        <w:rPr>
          <w:rFonts w:ascii="Arial Narrow" w:hAnsi="Arial Narrow"/>
          <w:sz w:val="22"/>
          <w:szCs w:val="22"/>
        </w:rPr>
        <w:t xml:space="preserve">Por su parte, </w:t>
      </w:r>
      <w:r>
        <w:rPr>
          <w:rFonts w:ascii="Arial Narrow" w:hAnsi="Arial Narrow"/>
          <w:sz w:val="22"/>
          <w:szCs w:val="22"/>
        </w:rPr>
        <w:t>durante 2015</w:t>
      </w:r>
      <w:r w:rsidRPr="004F5037">
        <w:rPr>
          <w:rFonts w:ascii="Arial Narrow" w:hAnsi="Arial Narrow"/>
          <w:sz w:val="22"/>
          <w:szCs w:val="22"/>
        </w:rPr>
        <w:t>, el valor nominal de las import</w:t>
      </w:r>
      <w:r>
        <w:rPr>
          <w:rFonts w:ascii="Arial Narrow" w:hAnsi="Arial Narrow"/>
          <w:sz w:val="22"/>
          <w:szCs w:val="22"/>
        </w:rPr>
        <w:t>aciones de mercancías fue de 395</w:t>
      </w:r>
      <w:r w:rsidRPr="004F5037">
        <w:rPr>
          <w:rFonts w:ascii="Arial Narrow" w:hAnsi="Arial Narrow"/>
          <w:sz w:val="22"/>
          <w:szCs w:val="22"/>
        </w:rPr>
        <w:t xml:space="preserve"> mil</w:t>
      </w:r>
      <w:r>
        <w:rPr>
          <w:rFonts w:ascii="Arial Narrow" w:hAnsi="Arial Narrow"/>
          <w:sz w:val="22"/>
          <w:szCs w:val="22"/>
        </w:rPr>
        <w:t xml:space="preserve"> 232</w:t>
      </w:r>
      <w:r w:rsidRPr="004F5037">
        <w:rPr>
          <w:rFonts w:ascii="Arial Narrow" w:hAnsi="Arial Narrow"/>
          <w:sz w:val="22"/>
          <w:szCs w:val="22"/>
        </w:rPr>
        <w:t xml:space="preserve"> millones de dólares, mo</w:t>
      </w:r>
      <w:r>
        <w:rPr>
          <w:rFonts w:ascii="Arial Narrow" w:hAnsi="Arial Narrow"/>
          <w:sz w:val="22"/>
          <w:szCs w:val="22"/>
        </w:rPr>
        <w:t>nto que representa una disminución anual de 1.2</w:t>
      </w:r>
      <w:r w:rsidRPr="004F5037">
        <w:rPr>
          <w:rFonts w:ascii="Arial Narrow" w:hAnsi="Arial Narrow"/>
          <w:sz w:val="22"/>
          <w:szCs w:val="22"/>
        </w:rPr>
        <w:t xml:space="preserve"> por ciento. Las imp</w:t>
      </w:r>
      <w:r>
        <w:rPr>
          <w:rFonts w:ascii="Arial Narrow" w:hAnsi="Arial Narrow"/>
          <w:sz w:val="22"/>
          <w:szCs w:val="22"/>
        </w:rPr>
        <w:t>ortaciones de bienes de consumo e intermedias cayeron a tasas anuales de 3.5 y 1.6 por ciento, respectivamente, mientras que las de capital avanzaron 5.2 por ciento.</w:t>
      </w:r>
    </w:p>
    <w:p w:rsidR="00B83815" w:rsidRPr="00992D26" w:rsidRDefault="00B83815" w:rsidP="00B83815">
      <w:pPr>
        <w:pStyle w:val="Sangradetextonormal"/>
        <w:ind w:firstLine="0"/>
        <w:rPr>
          <w:rFonts w:ascii="Arial Narrow" w:hAnsi="Arial Narrow"/>
          <w:sz w:val="25"/>
        </w:rPr>
      </w:pPr>
    </w:p>
    <w:p w:rsidR="00B83815" w:rsidRPr="002C3B5A" w:rsidRDefault="00B83815" w:rsidP="00B83815">
      <w:pPr>
        <w:pStyle w:val="Sangradetextonormal"/>
        <w:numPr>
          <w:ilvl w:val="0"/>
          <w:numId w:val="7"/>
        </w:numPr>
        <w:tabs>
          <w:tab w:val="clear" w:pos="1068"/>
          <w:tab w:val="num" w:pos="900"/>
        </w:tabs>
        <w:ind w:hanging="528"/>
        <w:jc w:val="left"/>
        <w:rPr>
          <w:rFonts w:ascii="Arial Narrow" w:hAnsi="Arial Narrow"/>
          <w:b/>
          <w:bCs/>
          <w:szCs w:val="28"/>
        </w:rPr>
      </w:pPr>
      <w:r w:rsidRPr="002C3B5A">
        <w:rPr>
          <w:rFonts w:ascii="Arial Narrow" w:hAnsi="Arial Narrow"/>
          <w:b/>
          <w:bCs/>
          <w:szCs w:val="28"/>
        </w:rPr>
        <w:t>Tipo de Cambio</w:t>
      </w:r>
    </w:p>
    <w:p w:rsidR="00B83815" w:rsidRPr="00992D26" w:rsidRDefault="00B83815" w:rsidP="00B83815">
      <w:pPr>
        <w:pStyle w:val="Sangradetextonormal"/>
        <w:ind w:left="540" w:firstLine="0"/>
        <w:jc w:val="left"/>
        <w:rPr>
          <w:rFonts w:ascii="Arial Narrow" w:hAnsi="Arial Narrow"/>
          <w:b/>
          <w:bCs/>
          <w:sz w:val="32"/>
          <w:szCs w:val="32"/>
        </w:rPr>
      </w:pPr>
    </w:p>
    <w:p w:rsidR="00B83815" w:rsidRPr="002C3B5A" w:rsidRDefault="00B83815" w:rsidP="00B83815">
      <w:pPr>
        <w:pStyle w:val="Sangradetextonormal"/>
        <w:ind w:firstLine="876"/>
        <w:rPr>
          <w:rFonts w:ascii="Arial Narrow" w:hAnsi="Arial Narrow"/>
          <w:sz w:val="22"/>
          <w:szCs w:val="22"/>
        </w:rPr>
      </w:pPr>
      <w:r w:rsidRPr="002C3B5A">
        <w:rPr>
          <w:rFonts w:ascii="Arial Narrow" w:hAnsi="Arial Narrow"/>
          <w:sz w:val="22"/>
          <w:szCs w:val="22"/>
        </w:rPr>
        <w:t>Durante el cuarto t</w:t>
      </w:r>
      <w:r>
        <w:rPr>
          <w:rFonts w:ascii="Arial Narrow" w:hAnsi="Arial Narrow"/>
          <w:sz w:val="22"/>
          <w:szCs w:val="22"/>
        </w:rPr>
        <w:t>rimestre de 2015</w:t>
      </w:r>
      <w:r w:rsidRPr="002C3B5A">
        <w:rPr>
          <w:rFonts w:ascii="Arial Narrow" w:hAnsi="Arial Narrow"/>
          <w:sz w:val="22"/>
          <w:szCs w:val="22"/>
        </w:rPr>
        <w:t xml:space="preserve">, el tipo de cambio del peso continuó depreciándose frente </w:t>
      </w:r>
      <w:r>
        <w:rPr>
          <w:rFonts w:ascii="Arial Narrow" w:hAnsi="Arial Narrow"/>
          <w:sz w:val="22"/>
          <w:szCs w:val="22"/>
        </w:rPr>
        <w:t>al dólar, debido</w:t>
      </w:r>
      <w:r w:rsidRPr="002C3B5A">
        <w:rPr>
          <w:rFonts w:ascii="Arial Narrow" w:hAnsi="Arial Narrow"/>
          <w:sz w:val="22"/>
          <w:szCs w:val="22"/>
        </w:rPr>
        <w:t xml:space="preserve"> </w:t>
      </w:r>
      <w:r>
        <w:rPr>
          <w:rFonts w:ascii="Arial Narrow" w:hAnsi="Arial Narrow"/>
          <w:sz w:val="22"/>
          <w:szCs w:val="22"/>
        </w:rPr>
        <w:t>principalmente al fortalecimiento de la expectativa del alza en las tasa de referencia de la Reserva Federal (FED) de los Estados Unidos de América, y su posterior incremento, así como a la persistente caída en los precios internacionales del petróleo.</w:t>
      </w:r>
    </w:p>
    <w:p w:rsidR="00B83815" w:rsidRPr="002C3B5A" w:rsidRDefault="00B83815" w:rsidP="00B83815">
      <w:pPr>
        <w:pStyle w:val="Sangradetextonormal"/>
        <w:ind w:firstLine="876"/>
        <w:rPr>
          <w:rFonts w:ascii="Arial Narrow" w:hAnsi="Arial Narrow"/>
          <w:sz w:val="22"/>
          <w:szCs w:val="22"/>
        </w:rPr>
      </w:pPr>
      <w:r w:rsidRPr="002C3B5A">
        <w:rPr>
          <w:rFonts w:ascii="Arial Narrow" w:hAnsi="Arial Narrow"/>
          <w:sz w:val="22"/>
          <w:szCs w:val="22"/>
        </w:rPr>
        <w:lastRenderedPageBreak/>
        <w:t>En este contexto</w:t>
      </w:r>
      <w:r>
        <w:rPr>
          <w:rFonts w:ascii="Arial Narrow" w:hAnsi="Arial Narrow"/>
          <w:sz w:val="22"/>
          <w:szCs w:val="22"/>
        </w:rPr>
        <w:t>, al cierre de diciembre de 2015</w:t>
      </w:r>
      <w:r w:rsidRPr="002C3B5A">
        <w:rPr>
          <w:rFonts w:ascii="Arial Narrow" w:hAnsi="Arial Narrow"/>
          <w:sz w:val="22"/>
          <w:szCs w:val="22"/>
        </w:rPr>
        <w:t xml:space="preserve">, el </w:t>
      </w:r>
      <w:r>
        <w:rPr>
          <w:rFonts w:ascii="Arial Narrow" w:hAnsi="Arial Narrow"/>
          <w:sz w:val="22"/>
          <w:szCs w:val="22"/>
        </w:rPr>
        <w:t>tipo de cambio se ubicó en 17.21</w:t>
      </w:r>
      <w:r w:rsidRPr="002C3B5A">
        <w:rPr>
          <w:rFonts w:ascii="Arial Narrow" w:hAnsi="Arial Narrow"/>
          <w:sz w:val="22"/>
          <w:szCs w:val="22"/>
        </w:rPr>
        <w:t xml:space="preserve"> pesos por dólar, lo q</w:t>
      </w:r>
      <w:r>
        <w:rPr>
          <w:rFonts w:ascii="Arial Narrow" w:hAnsi="Arial Narrow"/>
          <w:sz w:val="22"/>
          <w:szCs w:val="22"/>
        </w:rPr>
        <w:t>ue implicó una depreciación de 1.6</w:t>
      </w:r>
      <w:r w:rsidRPr="002C3B5A">
        <w:rPr>
          <w:rFonts w:ascii="Arial Narrow" w:hAnsi="Arial Narrow"/>
          <w:sz w:val="22"/>
          <w:szCs w:val="22"/>
        </w:rPr>
        <w:t xml:space="preserve"> por ciento respecto al nivel reportado al cierre del 30 de </w:t>
      </w:r>
      <w:r>
        <w:rPr>
          <w:rFonts w:ascii="Arial Narrow" w:hAnsi="Arial Narrow"/>
          <w:sz w:val="22"/>
          <w:szCs w:val="22"/>
        </w:rPr>
        <w:t>septiembre (16.93</w:t>
      </w:r>
      <w:r w:rsidRPr="002C3B5A">
        <w:rPr>
          <w:rFonts w:ascii="Arial Narrow" w:hAnsi="Arial Narrow"/>
          <w:sz w:val="22"/>
          <w:szCs w:val="22"/>
        </w:rPr>
        <w:t xml:space="preserve"> pesos por dólar). </w:t>
      </w:r>
    </w:p>
    <w:p w:rsidR="00B83815" w:rsidRPr="002C3B5A" w:rsidRDefault="00B83815" w:rsidP="00B83815">
      <w:pPr>
        <w:pStyle w:val="Sangradetextonormal"/>
        <w:ind w:firstLine="876"/>
        <w:rPr>
          <w:rFonts w:ascii="Arial Narrow" w:hAnsi="Arial Narrow"/>
          <w:sz w:val="22"/>
          <w:szCs w:val="22"/>
        </w:rPr>
      </w:pPr>
    </w:p>
    <w:p w:rsidR="00B83815" w:rsidRPr="002C3B5A" w:rsidRDefault="00B83815" w:rsidP="00B83815">
      <w:pPr>
        <w:pStyle w:val="Sangradetextonormal"/>
        <w:ind w:firstLine="876"/>
        <w:rPr>
          <w:rFonts w:ascii="Arial Narrow" w:hAnsi="Arial Narrow"/>
          <w:sz w:val="22"/>
          <w:szCs w:val="22"/>
        </w:rPr>
      </w:pPr>
      <w:r w:rsidRPr="002C3B5A">
        <w:rPr>
          <w:rFonts w:ascii="Arial Narrow" w:hAnsi="Arial Narrow"/>
          <w:sz w:val="22"/>
          <w:szCs w:val="22"/>
        </w:rPr>
        <w:t xml:space="preserve">Dicha  depreciación refleja un régimen de tipo de cambio flexible que </w:t>
      </w:r>
      <w:r>
        <w:rPr>
          <w:rFonts w:ascii="Arial Narrow" w:hAnsi="Arial Narrow"/>
          <w:sz w:val="22"/>
          <w:szCs w:val="22"/>
        </w:rPr>
        <w:t>permite amortiguar los</w:t>
      </w:r>
      <w:r w:rsidRPr="002C3B5A">
        <w:rPr>
          <w:rFonts w:ascii="Arial Narrow" w:hAnsi="Arial Narrow"/>
          <w:sz w:val="22"/>
          <w:szCs w:val="22"/>
        </w:rPr>
        <w:t xml:space="preserve"> choques externos</w:t>
      </w:r>
      <w:r>
        <w:rPr>
          <w:rFonts w:ascii="Arial Narrow" w:hAnsi="Arial Narrow"/>
          <w:sz w:val="22"/>
          <w:szCs w:val="22"/>
        </w:rPr>
        <w:t xml:space="preserve"> sobre la economía nacional.</w:t>
      </w:r>
    </w:p>
    <w:p w:rsidR="00B83815" w:rsidRPr="002C3B5A" w:rsidRDefault="00B83815" w:rsidP="00B83815">
      <w:pPr>
        <w:pStyle w:val="Sangradetextonormal"/>
        <w:ind w:firstLine="876"/>
        <w:rPr>
          <w:rFonts w:ascii="Arial Narrow" w:hAnsi="Arial Narrow"/>
          <w:sz w:val="22"/>
          <w:szCs w:val="22"/>
        </w:rPr>
      </w:pPr>
    </w:p>
    <w:p w:rsidR="00B83815" w:rsidRPr="002C3B5A" w:rsidRDefault="00B83815" w:rsidP="00B83815">
      <w:pPr>
        <w:pStyle w:val="Sangradetextonormal"/>
        <w:ind w:firstLine="876"/>
        <w:rPr>
          <w:rFonts w:ascii="Arial Narrow" w:hAnsi="Arial Narrow"/>
          <w:sz w:val="22"/>
          <w:szCs w:val="22"/>
        </w:rPr>
      </w:pPr>
      <w:r w:rsidRPr="002C3B5A">
        <w:rPr>
          <w:rFonts w:ascii="Arial Narrow" w:hAnsi="Arial Narrow"/>
          <w:sz w:val="22"/>
          <w:szCs w:val="22"/>
        </w:rPr>
        <w:t>Al térm</w:t>
      </w:r>
      <w:r>
        <w:rPr>
          <w:rFonts w:ascii="Arial Narrow" w:hAnsi="Arial Narrow"/>
          <w:sz w:val="22"/>
          <w:szCs w:val="22"/>
        </w:rPr>
        <w:t>ino del cuarto trimestre de 2015</w:t>
      </w:r>
      <w:r w:rsidRPr="002C3B5A">
        <w:rPr>
          <w:rFonts w:ascii="Arial Narrow" w:hAnsi="Arial Narrow"/>
          <w:sz w:val="22"/>
          <w:szCs w:val="22"/>
        </w:rPr>
        <w:t xml:space="preserve">, en línea con el tipo de cambio observado, las cotizaciones de los contratos de los futuros del peso mexicano en la Bolsa Mercantil de Chicago registraron un tipo de cambio superior al observado al finalizar el tercer trimestre del año. </w:t>
      </w:r>
    </w:p>
    <w:p w:rsidR="00B83815" w:rsidRPr="002C3B5A" w:rsidRDefault="00B83815" w:rsidP="00B83815">
      <w:pPr>
        <w:pStyle w:val="Sangradetextonormal"/>
        <w:ind w:firstLine="876"/>
        <w:rPr>
          <w:rFonts w:ascii="Arial Narrow" w:hAnsi="Arial Narrow"/>
          <w:sz w:val="22"/>
          <w:szCs w:val="22"/>
        </w:rPr>
      </w:pPr>
    </w:p>
    <w:p w:rsidR="00B83815" w:rsidRPr="002C3B5A" w:rsidRDefault="00B83815" w:rsidP="00B83815">
      <w:pPr>
        <w:pStyle w:val="Sangradetextonormal"/>
        <w:ind w:firstLine="876"/>
        <w:rPr>
          <w:rFonts w:ascii="Arial Narrow" w:hAnsi="Arial Narrow"/>
          <w:sz w:val="22"/>
          <w:szCs w:val="22"/>
        </w:rPr>
      </w:pPr>
      <w:r w:rsidRPr="002C3B5A">
        <w:rPr>
          <w:rFonts w:ascii="Arial Narrow" w:hAnsi="Arial Narrow"/>
          <w:sz w:val="22"/>
          <w:szCs w:val="22"/>
        </w:rPr>
        <w:t>Al ci</w:t>
      </w:r>
      <w:r>
        <w:rPr>
          <w:rFonts w:ascii="Arial Narrow" w:hAnsi="Arial Narrow"/>
          <w:sz w:val="22"/>
          <w:szCs w:val="22"/>
        </w:rPr>
        <w:t>erre del 31 de diciembre de 2015</w:t>
      </w:r>
      <w:r w:rsidRPr="002C3B5A">
        <w:rPr>
          <w:rFonts w:ascii="Arial Narrow" w:hAnsi="Arial Narrow"/>
          <w:sz w:val="22"/>
          <w:szCs w:val="22"/>
        </w:rPr>
        <w:t xml:space="preserve">, los contratos para entrega en marzo, junio, septiembre y </w:t>
      </w:r>
      <w:r>
        <w:rPr>
          <w:rFonts w:ascii="Arial Narrow" w:hAnsi="Arial Narrow"/>
          <w:sz w:val="22"/>
          <w:szCs w:val="22"/>
        </w:rPr>
        <w:t>diciembre de 2016</w:t>
      </w:r>
      <w:r w:rsidRPr="002C3B5A">
        <w:rPr>
          <w:rFonts w:ascii="Arial Narrow" w:hAnsi="Arial Narrow"/>
          <w:sz w:val="22"/>
          <w:szCs w:val="22"/>
        </w:rPr>
        <w:t xml:space="preserve"> se</w:t>
      </w:r>
      <w:r>
        <w:rPr>
          <w:rFonts w:ascii="Arial Narrow" w:hAnsi="Arial Narrow"/>
          <w:sz w:val="22"/>
          <w:szCs w:val="22"/>
        </w:rPr>
        <w:t xml:space="preserve"> depreciaron en 1.1, 1.0, 0.8 y 0.6</w:t>
      </w:r>
      <w:r w:rsidRPr="002C3B5A">
        <w:rPr>
          <w:rFonts w:ascii="Arial Narrow" w:hAnsi="Arial Narrow"/>
          <w:sz w:val="22"/>
          <w:szCs w:val="22"/>
        </w:rPr>
        <w:t xml:space="preserve"> por ciento, respectivamente, con relación a las cotizaciones registradas al cierre</w:t>
      </w:r>
      <w:r>
        <w:rPr>
          <w:rFonts w:ascii="Arial Narrow" w:hAnsi="Arial Narrow"/>
          <w:sz w:val="22"/>
          <w:szCs w:val="22"/>
        </w:rPr>
        <w:t xml:space="preserve"> de septiembre, ubicándose en 17.35, 17.46</w:t>
      </w:r>
      <w:r w:rsidRPr="002C3B5A">
        <w:rPr>
          <w:rFonts w:ascii="Arial Narrow" w:hAnsi="Arial Narrow"/>
          <w:sz w:val="22"/>
          <w:szCs w:val="22"/>
        </w:rPr>
        <w:t xml:space="preserve">, </w:t>
      </w:r>
      <w:r>
        <w:rPr>
          <w:rFonts w:ascii="Arial Narrow" w:hAnsi="Arial Narrow"/>
          <w:sz w:val="22"/>
          <w:szCs w:val="22"/>
        </w:rPr>
        <w:t>17.57 y 17.6</w:t>
      </w:r>
      <w:r w:rsidRPr="002C3B5A">
        <w:rPr>
          <w:rFonts w:ascii="Arial Narrow" w:hAnsi="Arial Narrow"/>
          <w:sz w:val="22"/>
          <w:szCs w:val="22"/>
        </w:rPr>
        <w:t>8 pesos por dólar, en igual orden.</w:t>
      </w:r>
    </w:p>
    <w:p w:rsidR="00B83815" w:rsidRPr="00992D26" w:rsidRDefault="00B83815" w:rsidP="00B83815">
      <w:pPr>
        <w:pStyle w:val="Sangradetextonormal"/>
        <w:ind w:firstLine="876"/>
        <w:rPr>
          <w:rFonts w:ascii="Arial Narrow" w:hAnsi="Arial Narrow"/>
          <w:sz w:val="25"/>
        </w:rPr>
      </w:pPr>
    </w:p>
    <w:p w:rsidR="00B83815" w:rsidRPr="00236348" w:rsidRDefault="00B83815" w:rsidP="00B83815">
      <w:pPr>
        <w:pStyle w:val="Sangradetextonormal"/>
        <w:numPr>
          <w:ilvl w:val="0"/>
          <w:numId w:val="7"/>
        </w:numPr>
        <w:tabs>
          <w:tab w:val="clear" w:pos="1068"/>
          <w:tab w:val="num" w:pos="900"/>
        </w:tabs>
        <w:ind w:hanging="528"/>
        <w:jc w:val="left"/>
        <w:rPr>
          <w:rFonts w:ascii="Arial Narrow" w:hAnsi="Arial Narrow"/>
          <w:b/>
          <w:bCs/>
          <w:szCs w:val="28"/>
        </w:rPr>
      </w:pPr>
      <w:r w:rsidRPr="00236348">
        <w:rPr>
          <w:rFonts w:ascii="Arial Narrow" w:hAnsi="Arial Narrow"/>
          <w:b/>
          <w:bCs/>
          <w:szCs w:val="28"/>
        </w:rPr>
        <w:t>Salarios</w:t>
      </w:r>
    </w:p>
    <w:p w:rsidR="00B83815" w:rsidRPr="00992D26" w:rsidRDefault="00B83815" w:rsidP="00B83815">
      <w:pPr>
        <w:pStyle w:val="Sangradetextonormal"/>
        <w:ind w:left="540" w:firstLine="0"/>
        <w:jc w:val="left"/>
        <w:rPr>
          <w:rFonts w:ascii="Arial Narrow" w:hAnsi="Arial Narrow"/>
          <w:b/>
          <w:bCs/>
          <w:sz w:val="32"/>
          <w:szCs w:val="32"/>
        </w:rPr>
      </w:pPr>
    </w:p>
    <w:p w:rsidR="00B83815" w:rsidRPr="00B92A61" w:rsidRDefault="00B83815" w:rsidP="00B83815">
      <w:pPr>
        <w:pStyle w:val="Sangradetextonormal"/>
        <w:ind w:firstLine="876"/>
        <w:rPr>
          <w:rFonts w:ascii="Arial Narrow" w:hAnsi="Arial Narrow"/>
          <w:sz w:val="22"/>
          <w:szCs w:val="22"/>
        </w:rPr>
      </w:pPr>
      <w:r w:rsidRPr="00B92A61">
        <w:rPr>
          <w:rFonts w:ascii="Arial Narrow" w:hAnsi="Arial Narrow"/>
          <w:sz w:val="22"/>
          <w:szCs w:val="22"/>
        </w:rPr>
        <w:t>Durante el periodo octubre-diciemb</w:t>
      </w:r>
      <w:r>
        <w:rPr>
          <w:rFonts w:ascii="Arial Narrow" w:hAnsi="Arial Narrow"/>
          <w:sz w:val="22"/>
          <w:szCs w:val="22"/>
        </w:rPr>
        <w:t>re de 2015</w:t>
      </w:r>
      <w:r w:rsidRPr="00B92A61">
        <w:rPr>
          <w:rFonts w:ascii="Arial Narrow" w:hAnsi="Arial Narrow"/>
          <w:sz w:val="22"/>
          <w:szCs w:val="22"/>
        </w:rPr>
        <w:t xml:space="preserve"> los salarios contractuales de jurisdicción federal </w:t>
      </w:r>
      <w:r>
        <w:rPr>
          <w:rFonts w:ascii="Arial Narrow" w:hAnsi="Arial Narrow"/>
          <w:sz w:val="22"/>
          <w:szCs w:val="22"/>
        </w:rPr>
        <w:t>registraron un incremento de 3.7</w:t>
      </w:r>
      <w:r w:rsidRPr="00B92A61">
        <w:rPr>
          <w:rFonts w:ascii="Arial Narrow" w:hAnsi="Arial Narrow"/>
          <w:sz w:val="22"/>
          <w:szCs w:val="22"/>
        </w:rPr>
        <w:t xml:space="preserve"> p</w:t>
      </w:r>
      <w:r>
        <w:rPr>
          <w:rFonts w:ascii="Arial Narrow" w:hAnsi="Arial Narrow"/>
          <w:sz w:val="22"/>
          <w:szCs w:val="22"/>
        </w:rPr>
        <w:t>or ciento en términos nominales, teniendo un crecimiento real en el año de 1.3 por ciento, que representa el mayor aumento desde 2001.</w:t>
      </w:r>
      <w:r w:rsidRPr="00B92A61">
        <w:rPr>
          <w:rFonts w:ascii="Arial Narrow" w:hAnsi="Arial Narrow"/>
          <w:sz w:val="22"/>
          <w:szCs w:val="22"/>
        </w:rPr>
        <w:t xml:space="preserve"> En el bi</w:t>
      </w:r>
      <w:r>
        <w:rPr>
          <w:rFonts w:ascii="Arial Narrow" w:hAnsi="Arial Narrow"/>
          <w:sz w:val="22"/>
          <w:szCs w:val="22"/>
        </w:rPr>
        <w:t>mestre octubre-noviembre de 2015</w:t>
      </w:r>
      <w:r w:rsidRPr="00B92A61">
        <w:rPr>
          <w:rFonts w:ascii="Arial Narrow" w:hAnsi="Arial Narrow"/>
          <w:sz w:val="22"/>
          <w:szCs w:val="22"/>
        </w:rPr>
        <w:t xml:space="preserve"> las remuneraciones reales por persona ocupada en la industria manufacturera crecieron </w:t>
      </w:r>
      <w:r>
        <w:rPr>
          <w:rFonts w:ascii="Arial Narrow" w:hAnsi="Arial Narrow"/>
          <w:sz w:val="22"/>
          <w:szCs w:val="22"/>
        </w:rPr>
        <w:t>a una tasa anual de 1.1</w:t>
      </w:r>
      <w:r w:rsidRPr="00B92A61">
        <w:rPr>
          <w:rFonts w:ascii="Arial Narrow" w:hAnsi="Arial Narrow"/>
          <w:sz w:val="22"/>
          <w:szCs w:val="22"/>
        </w:rPr>
        <w:t xml:space="preserve"> por cie</w:t>
      </w:r>
      <w:r>
        <w:rPr>
          <w:rFonts w:ascii="Arial Narrow" w:hAnsi="Arial Narrow"/>
          <w:sz w:val="22"/>
          <w:szCs w:val="22"/>
        </w:rPr>
        <w:t>nto. Los salarios y los sueldos se incrementaron 0.6, y 2.0</w:t>
      </w:r>
      <w:r w:rsidRPr="00B92A61">
        <w:rPr>
          <w:rFonts w:ascii="Arial Narrow" w:hAnsi="Arial Narrow"/>
          <w:sz w:val="22"/>
          <w:szCs w:val="22"/>
        </w:rPr>
        <w:t xml:space="preserve"> por ciento, respectivamente.  </w:t>
      </w:r>
    </w:p>
    <w:p w:rsidR="00B83815" w:rsidRPr="00992D26" w:rsidRDefault="00B83815" w:rsidP="00B83815">
      <w:pPr>
        <w:pStyle w:val="Sangradetextonormal"/>
        <w:ind w:firstLine="876"/>
        <w:rPr>
          <w:rFonts w:ascii="Arial Narrow" w:hAnsi="Arial Narrow"/>
          <w:sz w:val="25"/>
        </w:rPr>
      </w:pPr>
    </w:p>
    <w:p w:rsidR="00B83815" w:rsidRPr="00B92A61" w:rsidRDefault="00B83815" w:rsidP="00B83815">
      <w:pPr>
        <w:pStyle w:val="Sangradetextonormal"/>
        <w:ind w:firstLine="876"/>
        <w:rPr>
          <w:rFonts w:ascii="Arial Narrow" w:hAnsi="Arial Narrow"/>
          <w:sz w:val="22"/>
          <w:szCs w:val="22"/>
        </w:rPr>
      </w:pPr>
      <w:r w:rsidRPr="00B92A61">
        <w:rPr>
          <w:rFonts w:ascii="Arial Narrow" w:hAnsi="Arial Narrow"/>
          <w:sz w:val="22"/>
          <w:szCs w:val="22"/>
        </w:rPr>
        <w:t>A lo largo del mismo periodo, las remuneraciones r</w:t>
      </w:r>
      <w:r>
        <w:rPr>
          <w:rFonts w:ascii="Arial Narrow" w:hAnsi="Arial Narrow"/>
          <w:sz w:val="22"/>
          <w:szCs w:val="22"/>
        </w:rPr>
        <w:t>eales del personal ocupado en los</w:t>
      </w:r>
      <w:r w:rsidRPr="00B92A61">
        <w:rPr>
          <w:rFonts w:ascii="Arial Narrow" w:hAnsi="Arial Narrow"/>
          <w:sz w:val="22"/>
          <w:szCs w:val="22"/>
        </w:rPr>
        <w:t xml:space="preserve"> comercio</w:t>
      </w:r>
      <w:r>
        <w:rPr>
          <w:rFonts w:ascii="Arial Narrow" w:hAnsi="Arial Narrow"/>
          <w:sz w:val="22"/>
          <w:szCs w:val="22"/>
        </w:rPr>
        <w:t>s al menudeo</w:t>
      </w:r>
      <w:r w:rsidRPr="00B92A61">
        <w:rPr>
          <w:rFonts w:ascii="Arial Narrow" w:hAnsi="Arial Narrow"/>
          <w:sz w:val="22"/>
          <w:szCs w:val="22"/>
        </w:rPr>
        <w:t xml:space="preserve"> </w:t>
      </w:r>
      <w:r>
        <w:rPr>
          <w:rFonts w:ascii="Arial Narrow" w:hAnsi="Arial Narrow"/>
          <w:sz w:val="22"/>
          <w:szCs w:val="22"/>
        </w:rPr>
        <w:t>crecieron a una tasa anual de 4.6</w:t>
      </w:r>
      <w:r w:rsidRPr="00B92A61">
        <w:rPr>
          <w:rFonts w:ascii="Arial Narrow" w:hAnsi="Arial Narrow"/>
          <w:sz w:val="22"/>
          <w:szCs w:val="22"/>
        </w:rPr>
        <w:t xml:space="preserve"> por cien</w:t>
      </w:r>
      <w:r>
        <w:rPr>
          <w:rFonts w:ascii="Arial Narrow" w:hAnsi="Arial Narrow"/>
          <w:sz w:val="22"/>
          <w:szCs w:val="22"/>
        </w:rPr>
        <w:t>to y en el comercio al mayoreo avanzaron</w:t>
      </w:r>
      <w:r w:rsidRPr="00B92A61">
        <w:rPr>
          <w:rFonts w:ascii="Arial Narrow" w:hAnsi="Arial Narrow"/>
          <w:sz w:val="22"/>
          <w:szCs w:val="22"/>
        </w:rPr>
        <w:t xml:space="preserve"> a un </w:t>
      </w:r>
      <w:r>
        <w:rPr>
          <w:rFonts w:ascii="Arial Narrow" w:hAnsi="Arial Narrow"/>
          <w:sz w:val="22"/>
          <w:szCs w:val="22"/>
        </w:rPr>
        <w:t>ritmo anual de 9.4</w:t>
      </w:r>
      <w:r w:rsidRPr="00B92A61">
        <w:rPr>
          <w:rFonts w:ascii="Arial Narrow" w:hAnsi="Arial Narrow"/>
          <w:sz w:val="22"/>
          <w:szCs w:val="22"/>
        </w:rPr>
        <w:t xml:space="preserve"> por ciento.</w:t>
      </w:r>
    </w:p>
    <w:p w:rsidR="00B83815" w:rsidRPr="00992D26" w:rsidRDefault="00B83815" w:rsidP="00B83815">
      <w:pPr>
        <w:pStyle w:val="Sangradetextonormal"/>
        <w:ind w:firstLine="876"/>
        <w:rPr>
          <w:rFonts w:ascii="Arial Narrow" w:hAnsi="Arial Narrow"/>
          <w:sz w:val="25"/>
        </w:rPr>
      </w:pPr>
    </w:p>
    <w:p w:rsidR="00B83815" w:rsidRPr="0012519F" w:rsidRDefault="00B83815" w:rsidP="00B83815">
      <w:pPr>
        <w:pStyle w:val="Sangradetextonormal"/>
        <w:ind w:firstLine="876"/>
        <w:rPr>
          <w:rFonts w:ascii="Arial Narrow" w:hAnsi="Arial Narrow"/>
          <w:sz w:val="22"/>
          <w:szCs w:val="22"/>
        </w:rPr>
      </w:pPr>
      <w:r w:rsidRPr="0012519F">
        <w:rPr>
          <w:rFonts w:ascii="Arial Narrow" w:hAnsi="Arial Narrow"/>
          <w:sz w:val="22"/>
          <w:szCs w:val="22"/>
        </w:rPr>
        <w:lastRenderedPageBreak/>
        <w:t xml:space="preserve">En el bimestre octubre - </w:t>
      </w:r>
      <w:r>
        <w:rPr>
          <w:rFonts w:ascii="Arial Narrow" w:hAnsi="Arial Narrow"/>
          <w:sz w:val="22"/>
          <w:szCs w:val="22"/>
        </w:rPr>
        <w:t>noviembre de 2015</w:t>
      </w:r>
      <w:r w:rsidRPr="0012519F">
        <w:rPr>
          <w:rFonts w:ascii="Arial Narrow" w:hAnsi="Arial Narrow"/>
          <w:sz w:val="22"/>
          <w:szCs w:val="22"/>
        </w:rPr>
        <w:t xml:space="preserve"> la productividad de la mano de obra en la </w:t>
      </w:r>
      <w:r>
        <w:rPr>
          <w:rFonts w:ascii="Arial Narrow" w:hAnsi="Arial Narrow"/>
          <w:sz w:val="22"/>
          <w:szCs w:val="22"/>
        </w:rPr>
        <w:t>industria manufacturera registró una disminución anual de 1.0</w:t>
      </w:r>
      <w:r w:rsidRPr="0012519F">
        <w:rPr>
          <w:rFonts w:ascii="Arial Narrow" w:hAnsi="Arial Narrow"/>
          <w:sz w:val="22"/>
          <w:szCs w:val="22"/>
        </w:rPr>
        <w:t xml:space="preserve"> por ciento, en tanto que los costos unitarios de l</w:t>
      </w:r>
      <w:r>
        <w:rPr>
          <w:rFonts w:ascii="Arial Narrow" w:hAnsi="Arial Narrow"/>
          <w:sz w:val="22"/>
          <w:szCs w:val="22"/>
        </w:rPr>
        <w:t>a mano de obra en esta actividad se expandieron a un ritmo anual de 2.8</w:t>
      </w:r>
      <w:r w:rsidRPr="0012519F">
        <w:rPr>
          <w:rFonts w:ascii="Arial Narrow" w:hAnsi="Arial Narrow"/>
          <w:sz w:val="22"/>
          <w:szCs w:val="22"/>
        </w:rPr>
        <w:t xml:space="preserve"> por ciento.</w:t>
      </w:r>
    </w:p>
    <w:p w:rsidR="00B83815" w:rsidRPr="00992D26" w:rsidRDefault="00B83815" w:rsidP="00B83815">
      <w:pPr>
        <w:pStyle w:val="Sangradetextonormal"/>
        <w:ind w:firstLine="876"/>
        <w:rPr>
          <w:rFonts w:ascii="Arial Narrow" w:hAnsi="Arial Narrow"/>
          <w:sz w:val="25"/>
        </w:rPr>
      </w:pPr>
    </w:p>
    <w:p w:rsidR="00B83815" w:rsidRPr="00992D26" w:rsidRDefault="00B83815" w:rsidP="00B83815">
      <w:pPr>
        <w:pStyle w:val="Sangradetextonormal"/>
        <w:ind w:firstLine="876"/>
        <w:rPr>
          <w:rFonts w:ascii="Arial Narrow" w:hAnsi="Arial Narrow"/>
          <w:sz w:val="25"/>
        </w:rPr>
      </w:pPr>
    </w:p>
    <w:p w:rsidR="00B83815" w:rsidRPr="00E05E72" w:rsidRDefault="00B83815" w:rsidP="00B83815">
      <w:pPr>
        <w:pStyle w:val="Sangradetextonormal"/>
        <w:numPr>
          <w:ilvl w:val="0"/>
          <w:numId w:val="7"/>
        </w:numPr>
        <w:tabs>
          <w:tab w:val="clear" w:pos="1068"/>
          <w:tab w:val="num" w:pos="900"/>
        </w:tabs>
        <w:ind w:hanging="528"/>
        <w:jc w:val="left"/>
        <w:rPr>
          <w:rFonts w:ascii="Arial Narrow" w:hAnsi="Arial Narrow"/>
          <w:b/>
          <w:bCs/>
          <w:szCs w:val="28"/>
        </w:rPr>
      </w:pPr>
      <w:r w:rsidRPr="00E05E72">
        <w:rPr>
          <w:rFonts w:ascii="Arial Narrow" w:hAnsi="Arial Narrow"/>
          <w:b/>
          <w:bCs/>
          <w:szCs w:val="28"/>
        </w:rPr>
        <w:t>Déficit Público</w:t>
      </w:r>
    </w:p>
    <w:p w:rsidR="00B83815" w:rsidRPr="00992D26" w:rsidRDefault="00B83815" w:rsidP="00B83815">
      <w:pPr>
        <w:pStyle w:val="Sangradetextonormal"/>
        <w:ind w:left="540" w:firstLine="0"/>
        <w:jc w:val="left"/>
        <w:rPr>
          <w:rFonts w:ascii="Arial Narrow" w:hAnsi="Arial Narrow"/>
          <w:b/>
          <w:bCs/>
          <w:sz w:val="32"/>
          <w:szCs w:val="32"/>
        </w:rPr>
      </w:pPr>
    </w:p>
    <w:p w:rsidR="00B83815" w:rsidRPr="00E05E72" w:rsidRDefault="00B83815" w:rsidP="00B83815">
      <w:pPr>
        <w:pStyle w:val="Sangradetextonormal"/>
        <w:ind w:firstLine="876"/>
        <w:rPr>
          <w:rFonts w:ascii="Arial Narrow" w:hAnsi="Arial Narrow"/>
          <w:sz w:val="22"/>
          <w:szCs w:val="22"/>
        </w:rPr>
      </w:pPr>
      <w:r w:rsidRPr="00E05E72">
        <w:rPr>
          <w:rFonts w:ascii="Arial Narrow" w:hAnsi="Arial Narrow"/>
          <w:sz w:val="22"/>
          <w:szCs w:val="22"/>
        </w:rPr>
        <w:t xml:space="preserve">El déficit público fue de </w:t>
      </w:r>
      <w:r>
        <w:rPr>
          <w:rFonts w:ascii="Arial Narrow" w:hAnsi="Arial Narrow"/>
          <w:sz w:val="22"/>
          <w:szCs w:val="22"/>
        </w:rPr>
        <w:t>637 mil 627</w:t>
      </w:r>
      <w:r w:rsidRPr="00E05E72">
        <w:rPr>
          <w:rFonts w:ascii="Arial Narrow" w:hAnsi="Arial Narrow"/>
          <w:sz w:val="22"/>
          <w:szCs w:val="22"/>
        </w:rPr>
        <w:t xml:space="preserve"> millones de peso</w:t>
      </w:r>
      <w:r>
        <w:rPr>
          <w:rFonts w:ascii="Arial Narrow" w:hAnsi="Arial Narrow"/>
          <w:sz w:val="22"/>
          <w:szCs w:val="22"/>
        </w:rPr>
        <w:t>s, monto mayor al déficit de 543</w:t>
      </w:r>
      <w:r w:rsidRPr="00E05E72">
        <w:rPr>
          <w:rFonts w:ascii="Arial Narrow" w:hAnsi="Arial Narrow"/>
          <w:sz w:val="22"/>
          <w:szCs w:val="22"/>
        </w:rPr>
        <w:t xml:space="preserve"> mil</w:t>
      </w:r>
      <w:r>
        <w:rPr>
          <w:rFonts w:ascii="Arial Narrow" w:hAnsi="Arial Narrow"/>
          <w:sz w:val="22"/>
          <w:szCs w:val="22"/>
        </w:rPr>
        <w:t xml:space="preserve"> 76</w:t>
      </w:r>
      <w:r w:rsidRPr="00E05E72">
        <w:rPr>
          <w:rFonts w:ascii="Arial Narrow" w:hAnsi="Arial Narrow"/>
          <w:sz w:val="22"/>
          <w:szCs w:val="22"/>
        </w:rPr>
        <w:t xml:space="preserve"> millones de pesos observado en el </w:t>
      </w:r>
      <w:r>
        <w:rPr>
          <w:rFonts w:ascii="Arial Narrow" w:hAnsi="Arial Narrow"/>
          <w:sz w:val="22"/>
          <w:szCs w:val="22"/>
        </w:rPr>
        <w:t>mismo periodo de 2014</w:t>
      </w:r>
      <w:r w:rsidRPr="00E05E72">
        <w:rPr>
          <w:rFonts w:ascii="Arial Narrow" w:hAnsi="Arial Narrow"/>
          <w:sz w:val="22"/>
          <w:szCs w:val="22"/>
        </w:rPr>
        <w:t>. Dicho resultado, según reporta la Secretaría de Hacienda y Crédito Público (SHCP), se conforma de la siguiente manera:</w:t>
      </w:r>
    </w:p>
    <w:p w:rsidR="00B83815" w:rsidRPr="00992D26" w:rsidRDefault="00B83815" w:rsidP="00B83815">
      <w:pPr>
        <w:pStyle w:val="Sangradetextonormal"/>
        <w:ind w:firstLine="876"/>
        <w:rPr>
          <w:rFonts w:ascii="Arial Narrow" w:hAnsi="Arial Narrow"/>
          <w:sz w:val="25"/>
        </w:rPr>
      </w:pPr>
    </w:p>
    <w:p w:rsidR="00B83815" w:rsidRPr="00992D26" w:rsidRDefault="00B83815" w:rsidP="00B83815">
      <w:pPr>
        <w:pStyle w:val="Sangradetextonormal"/>
        <w:ind w:firstLine="876"/>
        <w:rPr>
          <w:rFonts w:ascii="Arial Narrow" w:hAnsi="Arial Narrow"/>
          <w:sz w:val="25"/>
        </w:rPr>
      </w:pPr>
    </w:p>
    <w:p w:rsidR="00B83815" w:rsidRPr="00E05E72" w:rsidRDefault="00B83815" w:rsidP="00B83815">
      <w:pPr>
        <w:pStyle w:val="Sangradetextonormal"/>
        <w:ind w:firstLine="876"/>
        <w:rPr>
          <w:rFonts w:ascii="Arial Narrow" w:hAnsi="Arial Narrow"/>
          <w:sz w:val="22"/>
          <w:szCs w:val="22"/>
        </w:rPr>
      </w:pPr>
      <w:r w:rsidRPr="00E05E72">
        <w:rPr>
          <w:rFonts w:ascii="Arial Narrow" w:hAnsi="Arial Narrow"/>
          <w:sz w:val="22"/>
          <w:szCs w:val="22"/>
        </w:rPr>
        <w:t>Déficit del Gobierno Federal</w:t>
      </w:r>
      <w:r w:rsidRPr="00E05E72">
        <w:rPr>
          <w:rFonts w:ascii="Arial Narrow" w:hAnsi="Arial Narrow"/>
          <w:sz w:val="22"/>
          <w:szCs w:val="22"/>
        </w:rPr>
        <w:tab/>
      </w:r>
      <w:r w:rsidRPr="00E05E72">
        <w:rPr>
          <w:rFonts w:ascii="Arial Narrow" w:hAnsi="Arial Narrow"/>
          <w:sz w:val="22"/>
          <w:szCs w:val="22"/>
        </w:rPr>
        <w:tab/>
      </w:r>
      <w:r w:rsidRPr="00E05E72">
        <w:rPr>
          <w:rFonts w:ascii="Arial Narrow" w:hAnsi="Arial Narrow"/>
          <w:sz w:val="22"/>
          <w:szCs w:val="22"/>
        </w:rPr>
        <w:tab/>
      </w:r>
      <w:r w:rsidRPr="00E05E72">
        <w:rPr>
          <w:rFonts w:ascii="Arial Narrow" w:hAnsi="Arial Narrow"/>
          <w:sz w:val="22"/>
          <w:szCs w:val="22"/>
        </w:rPr>
        <w:tab/>
      </w:r>
      <w:r w:rsidRPr="00E05E72">
        <w:rPr>
          <w:rFonts w:ascii="Arial Narrow" w:hAnsi="Arial Narrow"/>
          <w:sz w:val="22"/>
          <w:szCs w:val="22"/>
        </w:rPr>
        <w:tab/>
        <w:t xml:space="preserve">     </w:t>
      </w:r>
      <w:r>
        <w:rPr>
          <w:rFonts w:ascii="Arial Narrow" w:hAnsi="Arial Narrow"/>
          <w:sz w:val="22"/>
          <w:szCs w:val="22"/>
        </w:rPr>
        <w:t>548,41</w:t>
      </w:r>
      <w:r w:rsidRPr="00E05E72">
        <w:rPr>
          <w:rFonts w:ascii="Arial Narrow" w:hAnsi="Arial Narrow"/>
          <w:sz w:val="22"/>
          <w:szCs w:val="22"/>
        </w:rPr>
        <w:t>6</w:t>
      </w:r>
    </w:p>
    <w:p w:rsidR="00B83815" w:rsidRPr="001717C1" w:rsidRDefault="00B83815" w:rsidP="00B83815">
      <w:pPr>
        <w:pStyle w:val="Sangradetextonormal"/>
        <w:ind w:firstLine="876"/>
        <w:rPr>
          <w:rFonts w:ascii="Arial Narrow" w:hAnsi="Arial Narrow"/>
          <w:sz w:val="22"/>
          <w:szCs w:val="22"/>
          <w:u w:val="single"/>
        </w:rPr>
      </w:pPr>
      <w:r w:rsidRPr="00E05E72">
        <w:rPr>
          <w:rFonts w:ascii="Arial Narrow" w:hAnsi="Arial Narrow"/>
          <w:sz w:val="22"/>
          <w:szCs w:val="22"/>
        </w:rPr>
        <w:t xml:space="preserve">  </w:t>
      </w:r>
      <w:r w:rsidRPr="001717C1">
        <w:rPr>
          <w:rFonts w:ascii="Arial Narrow" w:hAnsi="Arial Narrow"/>
          <w:sz w:val="22"/>
          <w:szCs w:val="22"/>
          <w:u w:val="single"/>
        </w:rPr>
        <w:t xml:space="preserve">Más: </w:t>
      </w:r>
    </w:p>
    <w:p w:rsidR="00B83815" w:rsidRDefault="00B83815" w:rsidP="00B83815">
      <w:pPr>
        <w:pStyle w:val="Sangradetextonormal"/>
        <w:spacing w:line="240" w:lineRule="exact"/>
        <w:ind w:left="1247" w:firstLine="170"/>
        <w:rPr>
          <w:rFonts w:ascii="Arial Narrow" w:hAnsi="Arial Narrow"/>
          <w:sz w:val="22"/>
          <w:szCs w:val="22"/>
        </w:rPr>
      </w:pPr>
      <w:r>
        <w:rPr>
          <w:rFonts w:ascii="Arial Narrow" w:hAnsi="Arial Narrow"/>
          <w:sz w:val="22"/>
          <w:szCs w:val="22"/>
        </w:rPr>
        <w:t>Déficit de las Empresas Productivas del Estado</w:t>
      </w:r>
      <w:r>
        <w:rPr>
          <w:rFonts w:ascii="Arial Narrow" w:hAnsi="Arial Narrow"/>
          <w:sz w:val="22"/>
          <w:szCs w:val="22"/>
        </w:rPr>
        <w:tab/>
        <w:t>118,031</w:t>
      </w:r>
    </w:p>
    <w:p w:rsidR="00B83815" w:rsidRDefault="00B83815" w:rsidP="00B83815">
      <w:pPr>
        <w:pStyle w:val="Sangradetextonormal"/>
        <w:spacing w:line="240" w:lineRule="exact"/>
        <w:ind w:left="1247" w:firstLine="170"/>
        <w:rPr>
          <w:rFonts w:ascii="Arial Narrow" w:hAnsi="Arial Narrow"/>
          <w:sz w:val="22"/>
          <w:szCs w:val="22"/>
        </w:rPr>
      </w:pPr>
    </w:p>
    <w:p w:rsidR="00B83815" w:rsidRPr="00E05E72" w:rsidRDefault="00B83815" w:rsidP="00B83815">
      <w:pPr>
        <w:pStyle w:val="Sangradetextonormal"/>
        <w:spacing w:line="240" w:lineRule="exact"/>
        <w:ind w:left="1247" w:firstLine="170"/>
        <w:rPr>
          <w:rFonts w:ascii="Arial Narrow" w:hAnsi="Arial Narrow"/>
          <w:sz w:val="22"/>
          <w:szCs w:val="22"/>
        </w:rPr>
      </w:pPr>
      <w:r w:rsidRPr="00E05E72">
        <w:rPr>
          <w:rFonts w:ascii="Arial Narrow" w:hAnsi="Arial Narrow"/>
          <w:sz w:val="22"/>
          <w:szCs w:val="22"/>
        </w:rPr>
        <w:t xml:space="preserve">Déficit de las Entidades bajo Control </w:t>
      </w:r>
    </w:p>
    <w:p w:rsidR="00B83815" w:rsidRPr="00133803" w:rsidRDefault="00B83815" w:rsidP="00B83815">
      <w:pPr>
        <w:pStyle w:val="Sangradetextonormal"/>
        <w:spacing w:line="240" w:lineRule="exact"/>
        <w:ind w:left="1247" w:firstLine="170"/>
        <w:rPr>
          <w:rFonts w:ascii="Arial Narrow" w:hAnsi="Arial Narrow"/>
          <w:sz w:val="22"/>
          <w:szCs w:val="22"/>
        </w:rPr>
      </w:pPr>
      <w:r w:rsidRPr="00E05E72">
        <w:rPr>
          <w:rFonts w:ascii="Arial Narrow" w:hAnsi="Arial Narrow"/>
          <w:sz w:val="22"/>
          <w:szCs w:val="22"/>
        </w:rPr>
        <w:t xml:space="preserve">Presupuestario </w:t>
      </w:r>
      <w:r>
        <w:rPr>
          <w:rFonts w:ascii="Arial Narrow" w:hAnsi="Arial Narrow"/>
          <w:sz w:val="22"/>
          <w:szCs w:val="22"/>
        </w:rPr>
        <w:t>Ind</w:t>
      </w:r>
      <w:r w:rsidRPr="00E05E72">
        <w:rPr>
          <w:rFonts w:ascii="Arial Narrow" w:hAnsi="Arial Narrow"/>
          <w:sz w:val="22"/>
          <w:szCs w:val="22"/>
        </w:rPr>
        <w:t>irecto</w:t>
      </w:r>
      <w:r w:rsidRPr="00E05E72">
        <w:rPr>
          <w:rFonts w:ascii="Arial Narrow" w:hAnsi="Arial Narrow"/>
          <w:sz w:val="22"/>
          <w:szCs w:val="22"/>
        </w:rPr>
        <w:tab/>
      </w:r>
      <w:r w:rsidRPr="00E05E72">
        <w:rPr>
          <w:rFonts w:ascii="Arial Narrow" w:hAnsi="Arial Narrow"/>
          <w:sz w:val="22"/>
          <w:szCs w:val="22"/>
        </w:rPr>
        <w:tab/>
      </w:r>
      <w:r w:rsidRPr="00E05E72">
        <w:rPr>
          <w:rFonts w:ascii="Arial Narrow" w:hAnsi="Arial Narrow"/>
          <w:sz w:val="22"/>
          <w:szCs w:val="22"/>
        </w:rPr>
        <w:tab/>
      </w:r>
      <w:r w:rsidRPr="00E05E72">
        <w:rPr>
          <w:rFonts w:ascii="Arial Narrow" w:hAnsi="Arial Narrow"/>
          <w:sz w:val="22"/>
          <w:szCs w:val="22"/>
        </w:rPr>
        <w:tab/>
      </w:r>
      <w:r>
        <w:rPr>
          <w:rFonts w:ascii="Arial Narrow" w:hAnsi="Arial Narrow"/>
          <w:sz w:val="22"/>
          <w:szCs w:val="22"/>
          <w:u w:val="single"/>
        </w:rPr>
        <w:t xml:space="preserve">  10,203</w:t>
      </w:r>
      <w:r>
        <w:rPr>
          <w:rFonts w:ascii="Arial Narrow" w:hAnsi="Arial Narrow"/>
          <w:sz w:val="22"/>
          <w:szCs w:val="22"/>
        </w:rPr>
        <w:tab/>
        <w:t xml:space="preserve">     </w:t>
      </w:r>
      <w:r w:rsidRPr="00133803">
        <w:rPr>
          <w:rFonts w:ascii="Arial Narrow" w:hAnsi="Arial Narrow"/>
          <w:sz w:val="22"/>
          <w:szCs w:val="22"/>
          <w:u w:val="single"/>
        </w:rPr>
        <w:t>128,234</w:t>
      </w:r>
    </w:p>
    <w:p w:rsidR="00B83815" w:rsidRDefault="00B83815" w:rsidP="00B83815">
      <w:pPr>
        <w:pStyle w:val="Sangradetextonormal"/>
        <w:ind w:left="1248" w:firstLine="168"/>
        <w:rPr>
          <w:rFonts w:ascii="Arial Narrow" w:hAnsi="Arial Narrow"/>
          <w:sz w:val="22"/>
          <w:szCs w:val="22"/>
        </w:rPr>
      </w:pPr>
      <w:r w:rsidRPr="00E05E72">
        <w:rPr>
          <w:rFonts w:ascii="Arial Narrow" w:hAnsi="Arial Narrow"/>
          <w:sz w:val="22"/>
          <w:szCs w:val="22"/>
        </w:rPr>
        <w:tab/>
      </w:r>
      <w:r w:rsidRPr="00E05E72">
        <w:rPr>
          <w:rFonts w:ascii="Arial Narrow" w:hAnsi="Arial Narrow"/>
          <w:sz w:val="22"/>
          <w:szCs w:val="22"/>
        </w:rPr>
        <w:tab/>
      </w:r>
      <w:r w:rsidRPr="00E05E72">
        <w:rPr>
          <w:rFonts w:ascii="Arial Narrow" w:hAnsi="Arial Narrow"/>
          <w:sz w:val="22"/>
          <w:szCs w:val="22"/>
        </w:rPr>
        <w:tab/>
      </w:r>
      <w:r w:rsidRPr="00E05E72">
        <w:rPr>
          <w:rFonts w:ascii="Arial Narrow" w:hAnsi="Arial Narrow"/>
          <w:sz w:val="22"/>
          <w:szCs w:val="22"/>
        </w:rPr>
        <w:tab/>
      </w:r>
      <w:r w:rsidRPr="00E05E72">
        <w:rPr>
          <w:rFonts w:ascii="Arial Narrow" w:hAnsi="Arial Narrow"/>
          <w:sz w:val="22"/>
          <w:szCs w:val="22"/>
        </w:rPr>
        <w:tab/>
      </w:r>
      <w:r w:rsidRPr="00E05E72">
        <w:rPr>
          <w:rFonts w:ascii="Arial Narrow" w:hAnsi="Arial Narrow"/>
          <w:sz w:val="22"/>
          <w:szCs w:val="22"/>
        </w:rPr>
        <w:tab/>
      </w:r>
    </w:p>
    <w:p w:rsidR="00B83815" w:rsidRPr="00E05E72" w:rsidRDefault="00B83815" w:rsidP="00B83815">
      <w:pPr>
        <w:pStyle w:val="Sangradetextonormal"/>
        <w:ind w:left="5496" w:firstLine="168"/>
        <w:rPr>
          <w:rFonts w:ascii="Arial Narrow" w:hAnsi="Arial Narrow"/>
          <w:sz w:val="22"/>
          <w:szCs w:val="22"/>
        </w:rPr>
      </w:pPr>
      <w:r w:rsidRPr="00E05E72">
        <w:rPr>
          <w:rFonts w:ascii="Arial Narrow" w:hAnsi="Arial Narrow"/>
          <w:sz w:val="22"/>
          <w:szCs w:val="22"/>
        </w:rPr>
        <w:t xml:space="preserve">Suma:        </w:t>
      </w:r>
      <w:r>
        <w:rPr>
          <w:rFonts w:ascii="Arial Narrow" w:hAnsi="Arial Narrow"/>
          <w:sz w:val="22"/>
          <w:szCs w:val="22"/>
        </w:rPr>
        <w:t xml:space="preserve"> 676,650</w:t>
      </w:r>
    </w:p>
    <w:p w:rsidR="00B83815" w:rsidRPr="001717C1" w:rsidRDefault="00B83815" w:rsidP="00B83815">
      <w:pPr>
        <w:pStyle w:val="Sangradetextonormal"/>
        <w:rPr>
          <w:rFonts w:ascii="Arial Narrow" w:hAnsi="Arial Narrow"/>
          <w:sz w:val="22"/>
          <w:szCs w:val="22"/>
          <w:u w:val="single"/>
        </w:rPr>
      </w:pPr>
      <w:r w:rsidRPr="00E05E72">
        <w:rPr>
          <w:rFonts w:ascii="Arial Narrow" w:hAnsi="Arial Narrow"/>
          <w:sz w:val="22"/>
          <w:szCs w:val="22"/>
        </w:rPr>
        <w:t xml:space="preserve">     </w:t>
      </w:r>
      <w:r w:rsidRPr="001717C1">
        <w:rPr>
          <w:rFonts w:ascii="Arial Narrow" w:hAnsi="Arial Narrow"/>
          <w:sz w:val="22"/>
          <w:szCs w:val="22"/>
          <w:u w:val="single"/>
        </w:rPr>
        <w:t>Menos:</w:t>
      </w:r>
    </w:p>
    <w:p w:rsidR="00B83815" w:rsidRPr="00E05E72" w:rsidRDefault="00B83815" w:rsidP="00B83815">
      <w:pPr>
        <w:pStyle w:val="Sangradetextonormal"/>
        <w:spacing w:line="240" w:lineRule="auto"/>
        <w:ind w:left="539" w:firstLine="873"/>
        <w:rPr>
          <w:rFonts w:ascii="Arial Narrow" w:hAnsi="Arial Narrow"/>
          <w:sz w:val="22"/>
          <w:szCs w:val="22"/>
        </w:rPr>
      </w:pPr>
      <w:r>
        <w:rPr>
          <w:rFonts w:ascii="Arial Narrow" w:hAnsi="Arial Narrow"/>
          <w:sz w:val="22"/>
          <w:szCs w:val="22"/>
        </w:rPr>
        <w:t>Superávit de Organismos de C</w:t>
      </w:r>
      <w:r w:rsidRPr="00E05E72">
        <w:rPr>
          <w:rFonts w:ascii="Arial Narrow" w:hAnsi="Arial Narrow"/>
          <w:sz w:val="22"/>
          <w:szCs w:val="22"/>
        </w:rPr>
        <w:t xml:space="preserve">ontrol </w:t>
      </w:r>
    </w:p>
    <w:p w:rsidR="00B83815" w:rsidRPr="00E05E72" w:rsidRDefault="00B83815" w:rsidP="00B83815">
      <w:pPr>
        <w:pStyle w:val="Sangradetextonormal"/>
        <w:spacing w:line="240" w:lineRule="auto"/>
        <w:ind w:left="539" w:firstLine="873"/>
        <w:rPr>
          <w:rFonts w:ascii="Arial Narrow" w:hAnsi="Arial Narrow"/>
          <w:sz w:val="22"/>
          <w:szCs w:val="22"/>
          <w:u w:val="single"/>
        </w:rPr>
      </w:pPr>
      <w:r>
        <w:rPr>
          <w:rFonts w:ascii="Arial Narrow" w:hAnsi="Arial Narrow"/>
          <w:sz w:val="22"/>
          <w:szCs w:val="22"/>
        </w:rPr>
        <w:t>Presupuestario D</w:t>
      </w:r>
      <w:r w:rsidRPr="00E05E72">
        <w:rPr>
          <w:rFonts w:ascii="Arial Narrow" w:hAnsi="Arial Narrow"/>
          <w:sz w:val="22"/>
          <w:szCs w:val="22"/>
        </w:rPr>
        <w:t>irecto</w:t>
      </w:r>
      <w:r w:rsidRPr="00E05E72">
        <w:rPr>
          <w:rFonts w:ascii="Arial Narrow" w:hAnsi="Arial Narrow"/>
          <w:sz w:val="22"/>
          <w:szCs w:val="22"/>
        </w:rPr>
        <w:tab/>
      </w:r>
      <w:r w:rsidRPr="00E05E72">
        <w:rPr>
          <w:rFonts w:ascii="Arial Narrow" w:hAnsi="Arial Narrow"/>
          <w:sz w:val="22"/>
          <w:szCs w:val="22"/>
        </w:rPr>
        <w:tab/>
      </w:r>
      <w:r w:rsidRPr="00E05E72">
        <w:rPr>
          <w:rFonts w:ascii="Arial Narrow" w:hAnsi="Arial Narrow"/>
          <w:sz w:val="22"/>
          <w:szCs w:val="22"/>
        </w:rPr>
        <w:tab/>
      </w:r>
      <w:r w:rsidRPr="00E05E72">
        <w:rPr>
          <w:rFonts w:ascii="Arial Narrow" w:hAnsi="Arial Narrow"/>
          <w:sz w:val="22"/>
          <w:szCs w:val="22"/>
        </w:rPr>
        <w:tab/>
      </w:r>
      <w:r w:rsidRPr="00E05E72">
        <w:rPr>
          <w:rFonts w:ascii="Arial Narrow" w:hAnsi="Arial Narrow"/>
          <w:sz w:val="22"/>
          <w:szCs w:val="22"/>
        </w:rPr>
        <w:tab/>
      </w:r>
      <w:r w:rsidRPr="003C2415">
        <w:rPr>
          <w:rFonts w:ascii="Arial Narrow" w:hAnsi="Arial Narrow"/>
          <w:sz w:val="22"/>
          <w:szCs w:val="22"/>
        </w:rPr>
        <w:t xml:space="preserve">     </w:t>
      </w:r>
      <w:r w:rsidRPr="00E05E72">
        <w:rPr>
          <w:rFonts w:ascii="Arial Narrow" w:hAnsi="Arial Narrow"/>
          <w:sz w:val="22"/>
          <w:szCs w:val="22"/>
          <w:u w:val="single"/>
        </w:rPr>
        <w:t xml:space="preserve">   </w:t>
      </w:r>
      <w:r>
        <w:rPr>
          <w:rFonts w:ascii="Arial Narrow" w:hAnsi="Arial Narrow"/>
          <w:sz w:val="22"/>
          <w:szCs w:val="22"/>
          <w:u w:val="single"/>
        </w:rPr>
        <w:t>39,023</w:t>
      </w:r>
    </w:p>
    <w:p w:rsidR="00B83815" w:rsidRPr="00E05E72" w:rsidRDefault="00B83815" w:rsidP="00B83815">
      <w:pPr>
        <w:pStyle w:val="Sangradetextonormal"/>
        <w:ind w:left="2664" w:firstLine="876"/>
        <w:rPr>
          <w:rFonts w:ascii="Arial Narrow" w:hAnsi="Arial Narrow"/>
          <w:sz w:val="22"/>
          <w:szCs w:val="22"/>
        </w:rPr>
      </w:pPr>
    </w:p>
    <w:p w:rsidR="00B83815" w:rsidRPr="00E05E72" w:rsidRDefault="00B83815" w:rsidP="00B83815">
      <w:pPr>
        <w:pStyle w:val="Sangradetextonormal"/>
        <w:ind w:left="2664" w:firstLine="876"/>
        <w:rPr>
          <w:rFonts w:ascii="Arial Narrow" w:hAnsi="Arial Narrow"/>
          <w:sz w:val="22"/>
          <w:szCs w:val="22"/>
        </w:rPr>
      </w:pPr>
      <w:r w:rsidRPr="00E05E72">
        <w:rPr>
          <w:rFonts w:ascii="Arial Narrow" w:hAnsi="Arial Narrow"/>
          <w:sz w:val="22"/>
          <w:szCs w:val="22"/>
        </w:rPr>
        <w:t>Déficit Público:</w:t>
      </w:r>
      <w:r w:rsidRPr="00E05E72">
        <w:rPr>
          <w:rFonts w:ascii="Arial Narrow" w:hAnsi="Arial Narrow"/>
          <w:sz w:val="22"/>
          <w:szCs w:val="22"/>
        </w:rPr>
        <w:tab/>
      </w:r>
      <w:r w:rsidRPr="00E05E72">
        <w:rPr>
          <w:rFonts w:ascii="Arial Narrow" w:hAnsi="Arial Narrow"/>
          <w:sz w:val="22"/>
          <w:szCs w:val="22"/>
        </w:rPr>
        <w:tab/>
      </w:r>
      <w:r w:rsidRPr="00E05E72">
        <w:rPr>
          <w:rFonts w:ascii="Arial Narrow" w:hAnsi="Arial Narrow"/>
          <w:sz w:val="22"/>
          <w:szCs w:val="22"/>
        </w:rPr>
        <w:tab/>
        <w:t xml:space="preserve">     </w:t>
      </w:r>
      <w:r>
        <w:rPr>
          <w:rFonts w:ascii="Arial Narrow" w:hAnsi="Arial Narrow"/>
          <w:sz w:val="22"/>
          <w:szCs w:val="22"/>
        </w:rPr>
        <w:t xml:space="preserve"> </w:t>
      </w:r>
      <w:r w:rsidRPr="000616EB">
        <w:rPr>
          <w:rFonts w:ascii="Arial Narrow" w:hAnsi="Arial Narrow"/>
          <w:sz w:val="22"/>
          <w:szCs w:val="22"/>
          <w:u w:val="double"/>
        </w:rPr>
        <w:t>637,627</w:t>
      </w:r>
      <w:r w:rsidRPr="00E05E72">
        <w:rPr>
          <w:rFonts w:ascii="Arial Narrow" w:hAnsi="Arial Narrow"/>
          <w:sz w:val="22"/>
          <w:szCs w:val="22"/>
        </w:rPr>
        <w:tab/>
      </w:r>
      <w:r w:rsidRPr="00E05E72">
        <w:rPr>
          <w:rFonts w:ascii="Arial Narrow" w:hAnsi="Arial Narrow"/>
          <w:sz w:val="22"/>
          <w:szCs w:val="22"/>
        </w:rPr>
        <w:tab/>
      </w:r>
      <w:r w:rsidRPr="00E05E72">
        <w:rPr>
          <w:rFonts w:ascii="Arial Narrow" w:hAnsi="Arial Narrow"/>
          <w:sz w:val="22"/>
          <w:szCs w:val="22"/>
        </w:rPr>
        <w:tab/>
      </w:r>
    </w:p>
    <w:p w:rsidR="00B83815" w:rsidRPr="00E05E72" w:rsidRDefault="00B83815" w:rsidP="00B83815">
      <w:pPr>
        <w:pStyle w:val="Sangradetextonormal"/>
        <w:ind w:firstLine="876"/>
        <w:rPr>
          <w:rFonts w:ascii="Arial Narrow" w:hAnsi="Arial Narrow"/>
          <w:sz w:val="22"/>
          <w:szCs w:val="22"/>
        </w:rPr>
      </w:pPr>
      <w:r>
        <w:rPr>
          <w:rFonts w:ascii="Arial Narrow" w:hAnsi="Arial Narrow"/>
          <w:sz w:val="22"/>
          <w:szCs w:val="22"/>
        </w:rPr>
        <w:t>Excluyendo la inversión productiva</w:t>
      </w:r>
      <w:r w:rsidRPr="00E05E72">
        <w:rPr>
          <w:rFonts w:ascii="Arial Narrow" w:hAnsi="Arial Narrow"/>
          <w:sz w:val="22"/>
          <w:szCs w:val="22"/>
        </w:rPr>
        <w:t xml:space="preserve">, el déficit público fue de </w:t>
      </w:r>
      <w:r>
        <w:rPr>
          <w:rFonts w:ascii="Arial Narrow" w:hAnsi="Arial Narrow"/>
          <w:sz w:val="22"/>
          <w:szCs w:val="22"/>
        </w:rPr>
        <w:t>184 mil 326</w:t>
      </w:r>
      <w:r w:rsidRPr="00E05E72">
        <w:rPr>
          <w:rFonts w:ascii="Arial Narrow" w:hAnsi="Arial Narrow"/>
          <w:sz w:val="22"/>
          <w:szCs w:val="22"/>
        </w:rPr>
        <w:t xml:space="preserve"> millones de pesos.</w:t>
      </w:r>
    </w:p>
    <w:p w:rsidR="00B83815" w:rsidRDefault="00B83815" w:rsidP="00B83815">
      <w:pPr>
        <w:pStyle w:val="Sangradetextonormal"/>
        <w:ind w:firstLine="876"/>
        <w:rPr>
          <w:rFonts w:ascii="Arial Narrow" w:hAnsi="Arial Narrow"/>
          <w:sz w:val="25"/>
        </w:rPr>
      </w:pPr>
    </w:p>
    <w:p w:rsidR="00B83815" w:rsidRPr="00992D26" w:rsidRDefault="00B83815" w:rsidP="00B83815">
      <w:pPr>
        <w:pStyle w:val="Sangradetextonormal"/>
        <w:ind w:firstLine="876"/>
        <w:rPr>
          <w:rFonts w:ascii="Arial Narrow" w:hAnsi="Arial Narrow"/>
          <w:sz w:val="25"/>
        </w:rPr>
      </w:pPr>
    </w:p>
    <w:p w:rsidR="00B83815" w:rsidRPr="003C2415" w:rsidRDefault="00B83815" w:rsidP="00B83815">
      <w:pPr>
        <w:pStyle w:val="Sangradetextonormal"/>
        <w:spacing w:line="240" w:lineRule="auto"/>
        <w:ind w:firstLine="0"/>
        <w:jc w:val="left"/>
        <w:rPr>
          <w:rFonts w:ascii="Arial Narrow" w:hAnsi="Arial Narrow"/>
          <w:b/>
          <w:bCs/>
          <w:szCs w:val="28"/>
        </w:rPr>
      </w:pPr>
      <w:r w:rsidRPr="003C2415">
        <w:rPr>
          <w:rFonts w:ascii="Arial Narrow" w:hAnsi="Arial Narrow"/>
          <w:b/>
          <w:bCs/>
          <w:szCs w:val="28"/>
        </w:rPr>
        <w:lastRenderedPageBreak/>
        <w:t>2.1.1.3.- Postura Fiscal</w:t>
      </w:r>
    </w:p>
    <w:p w:rsidR="00B83815" w:rsidRPr="003C2415" w:rsidRDefault="00B83815" w:rsidP="00B83815">
      <w:pPr>
        <w:pStyle w:val="Sangradetextonormal"/>
        <w:spacing w:line="240" w:lineRule="auto"/>
        <w:ind w:firstLine="0"/>
        <w:jc w:val="left"/>
        <w:rPr>
          <w:rFonts w:ascii="Arial Narrow" w:hAnsi="Arial Narrow"/>
          <w:b/>
          <w:bCs/>
          <w:szCs w:val="28"/>
        </w:rPr>
      </w:pPr>
      <w:r w:rsidRPr="003C2415">
        <w:rPr>
          <w:rFonts w:ascii="Arial Narrow" w:hAnsi="Arial Narrow"/>
          <w:b/>
          <w:bCs/>
          <w:szCs w:val="28"/>
        </w:rPr>
        <w:tab/>
      </w:r>
    </w:p>
    <w:p w:rsidR="00B83815" w:rsidRPr="003C2415" w:rsidRDefault="00B83815" w:rsidP="00B83815">
      <w:pPr>
        <w:pStyle w:val="Sangradetextonormal"/>
        <w:numPr>
          <w:ilvl w:val="0"/>
          <w:numId w:val="8"/>
        </w:numPr>
        <w:tabs>
          <w:tab w:val="clear" w:pos="1068"/>
          <w:tab w:val="num" w:pos="900"/>
        </w:tabs>
        <w:ind w:hanging="528"/>
        <w:jc w:val="left"/>
        <w:rPr>
          <w:rFonts w:ascii="Arial Narrow" w:hAnsi="Arial Narrow"/>
          <w:b/>
          <w:bCs/>
          <w:szCs w:val="28"/>
        </w:rPr>
      </w:pPr>
      <w:r w:rsidRPr="003C2415">
        <w:rPr>
          <w:rFonts w:ascii="Arial Narrow" w:hAnsi="Arial Narrow"/>
          <w:b/>
          <w:bCs/>
          <w:szCs w:val="28"/>
        </w:rPr>
        <w:t>Política Fiscal</w:t>
      </w:r>
    </w:p>
    <w:p w:rsidR="00B83815" w:rsidRPr="00992D26" w:rsidRDefault="00B83815" w:rsidP="00B83815">
      <w:pPr>
        <w:pStyle w:val="Sangradetextonormal"/>
        <w:spacing w:line="240" w:lineRule="auto"/>
        <w:ind w:firstLine="0"/>
        <w:jc w:val="left"/>
        <w:rPr>
          <w:rFonts w:ascii="Arial Narrow" w:hAnsi="Arial Narrow"/>
          <w:b/>
          <w:bCs/>
          <w:sz w:val="32"/>
          <w:szCs w:val="32"/>
        </w:rPr>
      </w:pPr>
    </w:p>
    <w:p w:rsidR="00B83815" w:rsidRPr="003C2415" w:rsidRDefault="00B83815" w:rsidP="00B83815">
      <w:pPr>
        <w:pStyle w:val="Sangradetextonormal"/>
        <w:ind w:firstLine="876"/>
        <w:rPr>
          <w:rFonts w:ascii="Arial Narrow" w:hAnsi="Arial Narrow"/>
          <w:sz w:val="22"/>
          <w:szCs w:val="22"/>
        </w:rPr>
      </w:pPr>
      <w:r w:rsidRPr="003C2415">
        <w:rPr>
          <w:rFonts w:ascii="Arial Narrow" w:hAnsi="Arial Narrow"/>
          <w:sz w:val="22"/>
          <w:szCs w:val="22"/>
        </w:rPr>
        <w:t xml:space="preserve">La administración federal actual sostiene que la política fiscal deberá otorgar su máxima contribución al desarrollo nacional y al bienestar de las familias, a través de potenciar su fortaleza como mecanismo contracíclico primordial, sustentado en el manejo sólido y prudente de las finanzas nacionales, </w:t>
      </w:r>
      <w:r>
        <w:rPr>
          <w:rFonts w:ascii="Arial Narrow" w:hAnsi="Arial Narrow"/>
          <w:sz w:val="22"/>
          <w:szCs w:val="22"/>
        </w:rPr>
        <w:t xml:space="preserve">garantizando </w:t>
      </w:r>
      <w:r w:rsidRPr="003C2415">
        <w:rPr>
          <w:rFonts w:ascii="Arial Narrow" w:hAnsi="Arial Narrow"/>
          <w:sz w:val="22"/>
          <w:szCs w:val="22"/>
        </w:rPr>
        <w:t xml:space="preserve"> la sostenibilidad de la hacienda pública como condición fundamental de la estabilidad macroeconómica.</w:t>
      </w:r>
    </w:p>
    <w:p w:rsidR="00B83815" w:rsidRPr="003C2415" w:rsidRDefault="00B83815" w:rsidP="00B83815">
      <w:pPr>
        <w:pStyle w:val="Sangradetextonormal"/>
        <w:ind w:firstLine="876"/>
        <w:rPr>
          <w:rFonts w:ascii="Arial Narrow" w:hAnsi="Arial Narrow"/>
          <w:sz w:val="22"/>
          <w:szCs w:val="22"/>
        </w:rPr>
      </w:pPr>
    </w:p>
    <w:p w:rsidR="00B83815" w:rsidRDefault="00B83815" w:rsidP="00B83815">
      <w:pPr>
        <w:pStyle w:val="Sangradetextonormal"/>
        <w:ind w:firstLine="876"/>
        <w:rPr>
          <w:rFonts w:ascii="Arial Narrow" w:hAnsi="Arial Narrow"/>
          <w:sz w:val="22"/>
          <w:szCs w:val="22"/>
        </w:rPr>
      </w:pPr>
      <w:r>
        <w:rPr>
          <w:rFonts w:ascii="Arial Narrow" w:hAnsi="Arial Narrow"/>
          <w:sz w:val="22"/>
          <w:szCs w:val="22"/>
        </w:rPr>
        <w:t>Con base en lo expuesto, en el Paquete Económico presentado por el Ejecutivo Federal se destacó que las finanzas públicas para el ejercicio fiscal 2015 estarían ancladas a un manejo responsable y coherente con la estabilidad macroeconómica y continuarían beneficiándose del fortalecimiento de los ingresos asociados a la Reforma Hacendaria, subrayándose que el año en mención sería fundamental para nuestro país, en virtud de la entrada en vigor de diversas disposiciones en materia hacendaria.</w:t>
      </w:r>
    </w:p>
    <w:p w:rsidR="00B83815" w:rsidRDefault="00B83815" w:rsidP="00B83815">
      <w:pPr>
        <w:pStyle w:val="Sangradetextonormal"/>
        <w:ind w:firstLine="876"/>
        <w:rPr>
          <w:rFonts w:ascii="Arial Narrow" w:hAnsi="Arial Narrow"/>
          <w:sz w:val="22"/>
          <w:szCs w:val="22"/>
        </w:rPr>
      </w:pPr>
    </w:p>
    <w:p w:rsidR="00B83815" w:rsidRDefault="00B83815" w:rsidP="00B83815">
      <w:pPr>
        <w:pStyle w:val="Sangradetextonormal"/>
        <w:rPr>
          <w:rFonts w:ascii="Arial Narrow" w:hAnsi="Arial Narrow"/>
          <w:sz w:val="22"/>
          <w:szCs w:val="22"/>
        </w:rPr>
      </w:pPr>
      <w:r>
        <w:rPr>
          <w:rFonts w:ascii="Arial Narrow" w:hAnsi="Arial Narrow"/>
          <w:sz w:val="22"/>
          <w:szCs w:val="22"/>
        </w:rPr>
        <w:t>En torno a ello, se mencionó e</w:t>
      </w:r>
      <w:r w:rsidRPr="001B0D69">
        <w:rPr>
          <w:rFonts w:ascii="Arial Narrow" w:hAnsi="Arial Narrow"/>
          <w:sz w:val="22"/>
          <w:szCs w:val="22"/>
        </w:rPr>
        <w:t>l</w:t>
      </w:r>
      <w:r>
        <w:rPr>
          <w:rFonts w:ascii="Arial Narrow" w:hAnsi="Arial Narrow"/>
          <w:sz w:val="22"/>
          <w:szCs w:val="22"/>
        </w:rPr>
        <w:t xml:space="preserve"> </w:t>
      </w:r>
      <w:r w:rsidRPr="001B0D69">
        <w:rPr>
          <w:rFonts w:ascii="Arial Narrow" w:hAnsi="Arial Narrow"/>
          <w:sz w:val="22"/>
          <w:szCs w:val="22"/>
        </w:rPr>
        <w:t>establecimiento de nuevas medidas de responsabilidad hacendaria que refrendan el</w:t>
      </w:r>
      <w:r>
        <w:rPr>
          <w:rFonts w:ascii="Arial Narrow" w:hAnsi="Arial Narrow"/>
          <w:sz w:val="22"/>
          <w:szCs w:val="22"/>
        </w:rPr>
        <w:t xml:space="preserve"> </w:t>
      </w:r>
      <w:r w:rsidRPr="001B0D69">
        <w:rPr>
          <w:rFonts w:ascii="Arial Narrow" w:hAnsi="Arial Narrow"/>
          <w:sz w:val="22"/>
          <w:szCs w:val="22"/>
        </w:rPr>
        <w:t xml:space="preserve">compromiso con la estabilidad macroeconómica </w:t>
      </w:r>
      <w:r>
        <w:rPr>
          <w:rFonts w:ascii="Arial Narrow" w:hAnsi="Arial Narrow"/>
          <w:sz w:val="22"/>
          <w:szCs w:val="22"/>
        </w:rPr>
        <w:t>de la actual Administración Federal.</w:t>
      </w:r>
    </w:p>
    <w:p w:rsidR="00B83815" w:rsidRDefault="00B83815" w:rsidP="00B83815">
      <w:pPr>
        <w:pStyle w:val="Sangradetextonormal"/>
        <w:rPr>
          <w:rFonts w:ascii="Arial Narrow" w:hAnsi="Arial Narrow"/>
          <w:sz w:val="22"/>
          <w:szCs w:val="22"/>
        </w:rPr>
      </w:pPr>
    </w:p>
    <w:p w:rsidR="00B83815" w:rsidRDefault="00B83815" w:rsidP="00B83815">
      <w:pPr>
        <w:pStyle w:val="Sangradetextonormal"/>
        <w:rPr>
          <w:rFonts w:ascii="Arial Narrow" w:hAnsi="Arial Narrow"/>
          <w:sz w:val="22"/>
          <w:szCs w:val="22"/>
        </w:rPr>
      </w:pPr>
      <w:r>
        <w:rPr>
          <w:rFonts w:ascii="Arial Narrow" w:hAnsi="Arial Narrow"/>
          <w:sz w:val="22"/>
          <w:szCs w:val="22"/>
        </w:rPr>
        <w:t>También, se citó l</w:t>
      </w:r>
      <w:r w:rsidRPr="001B0D69">
        <w:rPr>
          <w:rFonts w:ascii="Arial Narrow" w:hAnsi="Arial Narrow"/>
          <w:sz w:val="22"/>
          <w:szCs w:val="22"/>
        </w:rPr>
        <w:t>a creación</w:t>
      </w:r>
      <w:r>
        <w:rPr>
          <w:rFonts w:ascii="Arial Narrow" w:hAnsi="Arial Narrow"/>
          <w:sz w:val="22"/>
          <w:szCs w:val="22"/>
        </w:rPr>
        <w:t xml:space="preserve"> </w:t>
      </w:r>
      <w:r w:rsidRPr="001B0D69">
        <w:rPr>
          <w:rFonts w:ascii="Arial Narrow" w:hAnsi="Arial Narrow"/>
          <w:sz w:val="22"/>
          <w:szCs w:val="22"/>
        </w:rPr>
        <w:t>de nuevos fondos y reglas para el manejo de ingresos excedentes que transparentarán el uso</w:t>
      </w:r>
      <w:r>
        <w:rPr>
          <w:rFonts w:ascii="Arial Narrow" w:hAnsi="Arial Narrow"/>
          <w:sz w:val="22"/>
          <w:szCs w:val="22"/>
        </w:rPr>
        <w:t xml:space="preserve"> </w:t>
      </w:r>
      <w:r w:rsidRPr="001B0D69">
        <w:rPr>
          <w:rFonts w:ascii="Arial Narrow" w:hAnsi="Arial Narrow"/>
          <w:sz w:val="22"/>
          <w:szCs w:val="22"/>
        </w:rPr>
        <w:t>de los ingresos petroleros y permitirán generar ahorro para enfrentar choques adversos a las</w:t>
      </w:r>
      <w:r>
        <w:rPr>
          <w:rFonts w:ascii="Arial Narrow" w:hAnsi="Arial Narrow"/>
          <w:sz w:val="22"/>
          <w:szCs w:val="22"/>
        </w:rPr>
        <w:t xml:space="preserve"> finanzas públicas.</w:t>
      </w:r>
    </w:p>
    <w:p w:rsidR="00B83815" w:rsidRDefault="00B83815" w:rsidP="00B83815">
      <w:pPr>
        <w:pStyle w:val="Sangradetextonormal"/>
        <w:rPr>
          <w:rFonts w:ascii="Arial Narrow" w:hAnsi="Arial Narrow"/>
          <w:sz w:val="22"/>
          <w:szCs w:val="22"/>
        </w:rPr>
      </w:pPr>
    </w:p>
    <w:p w:rsidR="00B83815" w:rsidRDefault="00B83815" w:rsidP="00B83815">
      <w:pPr>
        <w:pStyle w:val="Sangradetextonormal"/>
        <w:rPr>
          <w:rFonts w:ascii="Arial Narrow" w:hAnsi="Arial Narrow"/>
          <w:sz w:val="22"/>
          <w:szCs w:val="22"/>
        </w:rPr>
      </w:pPr>
      <w:r>
        <w:rPr>
          <w:rFonts w:ascii="Arial Narrow" w:hAnsi="Arial Narrow"/>
          <w:sz w:val="22"/>
          <w:szCs w:val="22"/>
        </w:rPr>
        <w:t>Ahora bien, e</w:t>
      </w:r>
      <w:r w:rsidRPr="001B0D69">
        <w:rPr>
          <w:rFonts w:ascii="Arial Narrow" w:hAnsi="Arial Narrow"/>
          <w:sz w:val="22"/>
          <w:szCs w:val="22"/>
        </w:rPr>
        <w:t>n m</w:t>
      </w:r>
      <w:r>
        <w:rPr>
          <w:rFonts w:ascii="Arial Narrow" w:hAnsi="Arial Narrow"/>
          <w:sz w:val="22"/>
          <w:szCs w:val="22"/>
        </w:rPr>
        <w:t>ateria de ingresos, se recalcó el establecimiento de</w:t>
      </w:r>
      <w:r w:rsidRPr="001B0D69">
        <w:rPr>
          <w:rFonts w:ascii="Arial Narrow" w:hAnsi="Arial Narrow"/>
          <w:sz w:val="22"/>
          <w:szCs w:val="22"/>
        </w:rPr>
        <w:t xml:space="preserve"> un nuevo régimen fiscal para</w:t>
      </w:r>
      <w:r>
        <w:rPr>
          <w:rFonts w:ascii="Arial Narrow" w:hAnsi="Arial Narrow"/>
          <w:sz w:val="22"/>
          <w:szCs w:val="22"/>
        </w:rPr>
        <w:t xml:space="preserve"> Pemex, así como la generación de</w:t>
      </w:r>
      <w:r w:rsidRPr="001B0D69">
        <w:rPr>
          <w:rFonts w:ascii="Arial Narrow" w:hAnsi="Arial Narrow"/>
          <w:sz w:val="22"/>
          <w:szCs w:val="22"/>
        </w:rPr>
        <w:t xml:space="preserve"> nuevos ingresos asociados a la apertura </w:t>
      </w:r>
      <w:r>
        <w:rPr>
          <w:rFonts w:ascii="Arial Narrow" w:hAnsi="Arial Narrow"/>
          <w:sz w:val="22"/>
          <w:szCs w:val="22"/>
        </w:rPr>
        <w:t xml:space="preserve">del sector energético y la entrada </w:t>
      </w:r>
      <w:r w:rsidRPr="001B0D69">
        <w:rPr>
          <w:rFonts w:ascii="Arial Narrow" w:hAnsi="Arial Narrow"/>
          <w:sz w:val="22"/>
          <w:szCs w:val="22"/>
        </w:rPr>
        <w:t xml:space="preserve">en vigor </w:t>
      </w:r>
      <w:r>
        <w:rPr>
          <w:rFonts w:ascii="Arial Narrow" w:hAnsi="Arial Narrow"/>
          <w:sz w:val="22"/>
          <w:szCs w:val="22"/>
        </w:rPr>
        <w:t xml:space="preserve">de </w:t>
      </w:r>
      <w:r w:rsidRPr="001B0D69">
        <w:rPr>
          <w:rFonts w:ascii="Arial Narrow" w:hAnsi="Arial Narrow"/>
          <w:sz w:val="22"/>
          <w:szCs w:val="22"/>
        </w:rPr>
        <w:t>medidas tributarias pendientes emanadas de la Reforma Hacendaria aprobada en</w:t>
      </w:r>
      <w:r>
        <w:rPr>
          <w:rFonts w:ascii="Arial Narrow" w:hAnsi="Arial Narrow"/>
          <w:sz w:val="22"/>
          <w:szCs w:val="22"/>
        </w:rPr>
        <w:t xml:space="preserve"> 2013.</w:t>
      </w:r>
    </w:p>
    <w:p w:rsidR="00B83815" w:rsidRDefault="00B83815" w:rsidP="00B83815">
      <w:pPr>
        <w:pStyle w:val="Sangradetextonormal"/>
        <w:rPr>
          <w:rFonts w:ascii="Arial Narrow" w:hAnsi="Arial Narrow"/>
          <w:sz w:val="22"/>
          <w:szCs w:val="22"/>
        </w:rPr>
      </w:pPr>
    </w:p>
    <w:p w:rsidR="00B83815" w:rsidRPr="00782F06" w:rsidRDefault="00B83815" w:rsidP="00B83815">
      <w:pPr>
        <w:pStyle w:val="Sangradetextonormal"/>
        <w:rPr>
          <w:rFonts w:ascii="Arial Narrow" w:hAnsi="Arial Narrow"/>
          <w:sz w:val="22"/>
          <w:szCs w:val="22"/>
        </w:rPr>
      </w:pPr>
      <w:r>
        <w:rPr>
          <w:rFonts w:ascii="Arial Narrow" w:hAnsi="Arial Narrow"/>
          <w:sz w:val="22"/>
          <w:szCs w:val="22"/>
        </w:rPr>
        <w:t>En cuanto al</w:t>
      </w:r>
      <w:r w:rsidRPr="001B0D69">
        <w:rPr>
          <w:rFonts w:ascii="Arial Narrow" w:hAnsi="Arial Narrow"/>
          <w:sz w:val="22"/>
          <w:szCs w:val="22"/>
        </w:rPr>
        <w:t xml:space="preserve"> gasto, se </w:t>
      </w:r>
      <w:r>
        <w:rPr>
          <w:rFonts w:ascii="Arial Narrow" w:hAnsi="Arial Narrow"/>
          <w:sz w:val="22"/>
          <w:szCs w:val="22"/>
        </w:rPr>
        <w:t>pretende fortalecer</w:t>
      </w:r>
      <w:r w:rsidRPr="001B0D69">
        <w:rPr>
          <w:rFonts w:ascii="Arial Narrow" w:hAnsi="Arial Narrow"/>
          <w:sz w:val="22"/>
          <w:szCs w:val="22"/>
        </w:rPr>
        <w:t xml:space="preserve"> los mecanismos para elevar la calidad del</w:t>
      </w:r>
      <w:r>
        <w:rPr>
          <w:rFonts w:ascii="Arial Narrow" w:hAnsi="Arial Narrow"/>
          <w:sz w:val="22"/>
          <w:szCs w:val="22"/>
        </w:rPr>
        <w:t xml:space="preserve"> </w:t>
      </w:r>
      <w:r w:rsidRPr="00782F06">
        <w:rPr>
          <w:rFonts w:ascii="Arial Narrow" w:hAnsi="Arial Narrow"/>
          <w:sz w:val="22"/>
          <w:szCs w:val="22"/>
        </w:rPr>
        <w:t>gasto público, para promover una mayor transparencia y rendición de cuentas, así como para</w:t>
      </w:r>
      <w:r>
        <w:rPr>
          <w:rFonts w:ascii="Arial Narrow" w:hAnsi="Arial Narrow"/>
          <w:sz w:val="22"/>
          <w:szCs w:val="22"/>
        </w:rPr>
        <w:t xml:space="preserve"> </w:t>
      </w:r>
      <w:r w:rsidRPr="00782F06">
        <w:rPr>
          <w:rFonts w:ascii="Arial Narrow" w:hAnsi="Arial Narrow"/>
          <w:sz w:val="22"/>
          <w:szCs w:val="22"/>
        </w:rPr>
        <w:t>mejorar el control presupuestario.</w:t>
      </w:r>
    </w:p>
    <w:p w:rsidR="00B83815" w:rsidRPr="003C2415" w:rsidRDefault="00B83815" w:rsidP="00B83815">
      <w:pPr>
        <w:pStyle w:val="Sangradetextonormal"/>
        <w:ind w:firstLine="708"/>
        <w:rPr>
          <w:rFonts w:ascii="Arial Narrow" w:hAnsi="Arial Narrow"/>
          <w:sz w:val="22"/>
          <w:szCs w:val="22"/>
        </w:rPr>
      </w:pPr>
      <w:r w:rsidRPr="003C2415">
        <w:rPr>
          <w:rFonts w:ascii="Arial Narrow" w:hAnsi="Arial Narrow"/>
          <w:sz w:val="22"/>
          <w:szCs w:val="22"/>
        </w:rPr>
        <w:lastRenderedPageBreak/>
        <w:t>En las metas previstas para el ejercicio que se reporta se estableció un déficit en el balance fi</w:t>
      </w:r>
      <w:r>
        <w:rPr>
          <w:rFonts w:ascii="Arial Narrow" w:hAnsi="Arial Narrow"/>
          <w:sz w:val="22"/>
          <w:szCs w:val="22"/>
        </w:rPr>
        <w:t>scal con inversión de las Empresas Productivas del Estado</w:t>
      </w:r>
      <w:r w:rsidRPr="003C2415">
        <w:rPr>
          <w:rFonts w:ascii="Arial Narrow" w:hAnsi="Arial Narrow"/>
          <w:sz w:val="22"/>
          <w:szCs w:val="22"/>
        </w:rPr>
        <w:t xml:space="preserve"> de 3.5% del PI</w:t>
      </w:r>
      <w:r>
        <w:rPr>
          <w:rFonts w:ascii="Arial Narrow" w:hAnsi="Arial Narrow"/>
          <w:sz w:val="22"/>
          <w:szCs w:val="22"/>
        </w:rPr>
        <w:t>B, con un incremento real de 1.0</w:t>
      </w:r>
      <w:r w:rsidRPr="003C2415">
        <w:rPr>
          <w:rFonts w:ascii="Arial Narrow" w:hAnsi="Arial Narrow"/>
          <w:sz w:val="22"/>
          <w:szCs w:val="22"/>
        </w:rPr>
        <w:t>% en los ingresos presupuesta</w:t>
      </w:r>
      <w:r>
        <w:rPr>
          <w:rFonts w:ascii="Arial Narrow" w:hAnsi="Arial Narrow"/>
          <w:sz w:val="22"/>
          <w:szCs w:val="22"/>
        </w:rPr>
        <w:t>rios que incluyen a dichas empresas</w:t>
      </w:r>
      <w:r w:rsidRPr="003C2415">
        <w:rPr>
          <w:rFonts w:ascii="Arial Narrow" w:hAnsi="Arial Narrow"/>
          <w:sz w:val="22"/>
          <w:szCs w:val="22"/>
        </w:rPr>
        <w:t xml:space="preserve"> y un c</w:t>
      </w:r>
      <w:r>
        <w:rPr>
          <w:rFonts w:ascii="Arial Narrow" w:hAnsi="Arial Narrow"/>
          <w:sz w:val="22"/>
          <w:szCs w:val="22"/>
        </w:rPr>
        <w:t>recimiento real de 0.9</w:t>
      </w:r>
      <w:r w:rsidRPr="003C2415">
        <w:rPr>
          <w:rFonts w:ascii="Arial Narrow" w:hAnsi="Arial Narrow"/>
          <w:sz w:val="22"/>
          <w:szCs w:val="22"/>
        </w:rPr>
        <w:t>% en el gasto neto.</w:t>
      </w:r>
    </w:p>
    <w:p w:rsidR="00B83815" w:rsidRPr="003C2415" w:rsidRDefault="00B83815" w:rsidP="00B83815">
      <w:pPr>
        <w:pStyle w:val="Sangradetextonormal"/>
        <w:spacing w:line="240" w:lineRule="exact"/>
        <w:ind w:firstLine="873"/>
        <w:rPr>
          <w:rFonts w:ascii="Arial Narrow" w:hAnsi="Arial Narrow"/>
          <w:sz w:val="22"/>
          <w:szCs w:val="22"/>
        </w:rPr>
      </w:pPr>
    </w:p>
    <w:p w:rsidR="00B83815" w:rsidRPr="003C2415" w:rsidRDefault="00B83815" w:rsidP="00B83815">
      <w:pPr>
        <w:pStyle w:val="Sangradetextonormal"/>
        <w:ind w:firstLine="708"/>
        <w:rPr>
          <w:rFonts w:ascii="Arial Narrow" w:hAnsi="Arial Narrow"/>
          <w:sz w:val="22"/>
          <w:szCs w:val="22"/>
        </w:rPr>
      </w:pPr>
      <w:r w:rsidRPr="003C2415">
        <w:rPr>
          <w:rFonts w:ascii="Arial Narrow" w:hAnsi="Arial Narrow"/>
          <w:sz w:val="22"/>
          <w:szCs w:val="22"/>
        </w:rPr>
        <w:t>Cabe señalar que</w:t>
      </w:r>
      <w:r>
        <w:rPr>
          <w:rFonts w:ascii="Arial Narrow" w:hAnsi="Arial Narrow"/>
          <w:sz w:val="22"/>
          <w:szCs w:val="22"/>
        </w:rPr>
        <w:t>, en línea con la estrategia de déficit decreciente</w:t>
      </w:r>
      <w:r w:rsidRPr="003C2415">
        <w:rPr>
          <w:rFonts w:ascii="Arial Narrow" w:hAnsi="Arial Narrow"/>
          <w:sz w:val="22"/>
          <w:szCs w:val="22"/>
        </w:rPr>
        <w:t>, el Gobierno Federal</w:t>
      </w:r>
      <w:r>
        <w:rPr>
          <w:rFonts w:ascii="Arial Narrow" w:hAnsi="Arial Narrow"/>
          <w:sz w:val="22"/>
          <w:szCs w:val="22"/>
        </w:rPr>
        <w:t xml:space="preserve"> estimó para 2015 un déficit fiscal de 1.0</w:t>
      </w:r>
      <w:r w:rsidRPr="003C2415">
        <w:rPr>
          <w:rFonts w:ascii="Arial Narrow" w:hAnsi="Arial Narrow"/>
          <w:sz w:val="22"/>
          <w:szCs w:val="22"/>
        </w:rPr>
        <w:t xml:space="preserve"> % del PIB si s</w:t>
      </w:r>
      <w:r>
        <w:rPr>
          <w:rFonts w:ascii="Arial Narrow" w:hAnsi="Arial Narrow"/>
          <w:sz w:val="22"/>
          <w:szCs w:val="22"/>
        </w:rPr>
        <w:t>e excluye la inversión en Empresas Productivas del Estado.</w:t>
      </w:r>
    </w:p>
    <w:p w:rsidR="00B83815" w:rsidRDefault="00B83815" w:rsidP="00B83815">
      <w:pPr>
        <w:pStyle w:val="Sangradetextonormal"/>
        <w:ind w:firstLine="708"/>
        <w:rPr>
          <w:rFonts w:ascii="Arial Narrow" w:hAnsi="Arial Narrow"/>
          <w:sz w:val="25"/>
        </w:rPr>
      </w:pPr>
    </w:p>
    <w:p w:rsidR="00B83815" w:rsidRPr="003C2415" w:rsidRDefault="00B83815" w:rsidP="00B83815">
      <w:pPr>
        <w:pStyle w:val="Sangradetextonormal"/>
        <w:numPr>
          <w:ilvl w:val="0"/>
          <w:numId w:val="8"/>
        </w:numPr>
        <w:tabs>
          <w:tab w:val="clear" w:pos="1068"/>
          <w:tab w:val="num" w:pos="900"/>
        </w:tabs>
        <w:ind w:hanging="528"/>
        <w:jc w:val="left"/>
        <w:rPr>
          <w:rFonts w:ascii="Arial Narrow" w:hAnsi="Arial Narrow"/>
          <w:b/>
          <w:bCs/>
          <w:szCs w:val="28"/>
        </w:rPr>
      </w:pPr>
      <w:r w:rsidRPr="003C2415">
        <w:rPr>
          <w:rFonts w:ascii="Arial Narrow" w:hAnsi="Arial Narrow"/>
          <w:b/>
          <w:bCs/>
          <w:szCs w:val="28"/>
        </w:rPr>
        <w:t>Líneas de Acción</w:t>
      </w:r>
    </w:p>
    <w:p w:rsidR="00B83815" w:rsidRPr="00992D26" w:rsidRDefault="00B83815" w:rsidP="00B83815">
      <w:pPr>
        <w:pStyle w:val="Sangradetextonormal"/>
        <w:spacing w:line="240" w:lineRule="auto"/>
        <w:ind w:firstLine="0"/>
        <w:jc w:val="left"/>
        <w:rPr>
          <w:rFonts w:ascii="Arial Narrow" w:hAnsi="Arial Narrow"/>
          <w:b/>
          <w:bCs/>
          <w:sz w:val="32"/>
          <w:szCs w:val="32"/>
        </w:rPr>
      </w:pPr>
    </w:p>
    <w:p w:rsidR="00B83815" w:rsidRPr="003C2415" w:rsidRDefault="00B83815" w:rsidP="00B83815">
      <w:pPr>
        <w:pStyle w:val="Sangradetextonormal"/>
        <w:ind w:firstLine="876"/>
        <w:rPr>
          <w:rFonts w:ascii="Arial Narrow" w:hAnsi="Arial Narrow"/>
          <w:sz w:val="22"/>
          <w:szCs w:val="22"/>
        </w:rPr>
      </w:pPr>
      <w:r>
        <w:rPr>
          <w:rFonts w:ascii="Arial Narrow" w:hAnsi="Arial Narrow"/>
          <w:sz w:val="22"/>
          <w:szCs w:val="22"/>
        </w:rPr>
        <w:t>En el paquete económico para 2015 se consideró</w:t>
      </w:r>
      <w:r w:rsidRPr="003C2415">
        <w:rPr>
          <w:rFonts w:ascii="Arial Narrow" w:hAnsi="Arial Narrow"/>
          <w:sz w:val="22"/>
          <w:szCs w:val="22"/>
        </w:rPr>
        <w:t xml:space="preserve"> </w:t>
      </w:r>
      <w:r>
        <w:rPr>
          <w:rFonts w:ascii="Arial Narrow" w:hAnsi="Arial Narrow"/>
          <w:sz w:val="22"/>
          <w:szCs w:val="22"/>
        </w:rPr>
        <w:t>que la Reforma Hacendaria implicó cambios profundos en todos los aspectos del sistema tributario, señalando que el Gobierno de la República ha utilizado las herramientas a su alcance para fomentar un ambiente de certidumbre en la materia y se ratifica el compromiso asumido de mejorar la eficiencia, oportunidad y transparencia en el uso de los recursos públicos.</w:t>
      </w:r>
    </w:p>
    <w:p w:rsidR="00B83815" w:rsidRPr="003C2415" w:rsidRDefault="00B83815" w:rsidP="00B83815">
      <w:pPr>
        <w:pStyle w:val="Sangradetextonormal"/>
        <w:ind w:firstLine="876"/>
        <w:rPr>
          <w:rFonts w:ascii="Arial Narrow" w:hAnsi="Arial Narrow"/>
          <w:sz w:val="22"/>
          <w:szCs w:val="22"/>
        </w:rPr>
      </w:pPr>
    </w:p>
    <w:p w:rsidR="00B83815" w:rsidRDefault="00B83815" w:rsidP="00B83815">
      <w:pPr>
        <w:pStyle w:val="Sangradetextonormal"/>
        <w:ind w:firstLine="876"/>
        <w:rPr>
          <w:rFonts w:ascii="Arial Narrow" w:hAnsi="Arial Narrow"/>
          <w:sz w:val="22"/>
          <w:szCs w:val="22"/>
        </w:rPr>
      </w:pPr>
      <w:r w:rsidRPr="003C2415">
        <w:rPr>
          <w:rFonts w:ascii="Arial Narrow" w:hAnsi="Arial Narrow"/>
          <w:sz w:val="22"/>
          <w:szCs w:val="22"/>
        </w:rPr>
        <w:t xml:space="preserve"> </w:t>
      </w:r>
      <w:r>
        <w:rPr>
          <w:rFonts w:ascii="Arial Narrow" w:hAnsi="Arial Narrow"/>
          <w:sz w:val="22"/>
          <w:szCs w:val="22"/>
        </w:rPr>
        <w:t xml:space="preserve">Por el lado de los ingresos públicos, </w:t>
      </w:r>
      <w:r w:rsidRPr="003C2415">
        <w:rPr>
          <w:rFonts w:ascii="Arial Narrow" w:hAnsi="Arial Narrow"/>
          <w:sz w:val="22"/>
          <w:szCs w:val="22"/>
        </w:rPr>
        <w:t xml:space="preserve">se enfatizó que para el año que se reporta </w:t>
      </w:r>
      <w:r>
        <w:rPr>
          <w:rFonts w:ascii="Arial Narrow" w:hAnsi="Arial Narrow"/>
          <w:sz w:val="22"/>
          <w:szCs w:val="22"/>
        </w:rPr>
        <w:t xml:space="preserve">no se propondrán nuevos impuestos, ni se incrementarán los ya existentes y tampoco se eliminan los beneficios fiscales para ningún contribuyente, por lo que no se plantearán modificaciones sustantivas a la legislación, normatividad y procedimientos que rigen el actual marco fiscal y en cuanto a la política de precios y tarifas de los bienes y servicios que ofrecen los organismos y empresas del sector público federal, se continuará definiendo a través de criterios como la relación precio – costo, los precios de referencia nacional e internacional y la tasa de inflación.  </w:t>
      </w:r>
    </w:p>
    <w:p w:rsidR="00B83815" w:rsidRPr="003C2415" w:rsidRDefault="00B83815" w:rsidP="00B83815">
      <w:pPr>
        <w:pStyle w:val="Sangradetextonormal"/>
        <w:ind w:firstLine="876"/>
        <w:rPr>
          <w:rFonts w:ascii="Arial Narrow" w:hAnsi="Arial Narrow"/>
          <w:sz w:val="22"/>
          <w:szCs w:val="22"/>
        </w:rPr>
      </w:pPr>
    </w:p>
    <w:p w:rsidR="00B83815" w:rsidRPr="003C2415" w:rsidRDefault="00B83815" w:rsidP="00B83815">
      <w:pPr>
        <w:pStyle w:val="Sangradetextonormal"/>
        <w:ind w:firstLine="993"/>
        <w:rPr>
          <w:rFonts w:ascii="Arial Narrow" w:hAnsi="Arial Narrow"/>
          <w:sz w:val="22"/>
          <w:szCs w:val="22"/>
        </w:rPr>
      </w:pPr>
      <w:r w:rsidRPr="003C2415">
        <w:rPr>
          <w:rFonts w:ascii="Arial Narrow" w:hAnsi="Arial Narrow"/>
          <w:sz w:val="22"/>
          <w:szCs w:val="22"/>
        </w:rPr>
        <w:t xml:space="preserve">Por la parte de los egresos públicos, se </w:t>
      </w:r>
      <w:r>
        <w:rPr>
          <w:rFonts w:ascii="Arial Narrow" w:hAnsi="Arial Narrow"/>
          <w:sz w:val="22"/>
          <w:szCs w:val="22"/>
        </w:rPr>
        <w:t>tiene como prioridad orientar las políticas, programas y acciones a la consecución de resultados, en un marco de eficiencia, eficacia, transparencia y rendición de cuentas, en congruencia con las reformas estructurales aprobadas, mediante la instrumentación de estrategias de optimización de los gastos de operación y racionalización de los recursos destinados al gasto corriente, para hacer factible mayores erogaciones en proyectos y programas de inversión de alto impacto, que se traduzca en beneficios palpables para todos los mexicanos.</w:t>
      </w:r>
    </w:p>
    <w:p w:rsidR="00B83815" w:rsidRPr="003C2415" w:rsidRDefault="00B83815" w:rsidP="00B83815">
      <w:pPr>
        <w:pStyle w:val="Sangradetextonormal"/>
        <w:ind w:firstLine="993"/>
        <w:rPr>
          <w:rFonts w:ascii="Arial Narrow" w:hAnsi="Arial Narrow"/>
          <w:sz w:val="22"/>
          <w:szCs w:val="22"/>
        </w:rPr>
      </w:pPr>
      <w:r w:rsidRPr="003C2415">
        <w:rPr>
          <w:rFonts w:ascii="Arial Narrow" w:hAnsi="Arial Narrow"/>
          <w:sz w:val="22"/>
          <w:szCs w:val="22"/>
        </w:rPr>
        <w:lastRenderedPageBreak/>
        <w:t>En materia de e</w:t>
      </w:r>
      <w:r>
        <w:rPr>
          <w:rFonts w:ascii="Arial Narrow" w:hAnsi="Arial Narrow"/>
          <w:sz w:val="22"/>
          <w:szCs w:val="22"/>
        </w:rPr>
        <w:t>ndeudamiento, se establece que la política de deuda pública tiene como principal objetivo cubrir las necesidades de financiamiento del Gobierno Federal con bajos costos en un horizonte de largo plazo, bajo nivel de riesgo y considerando posibles escenarios extremos, recalcando que su manejo prudente y responsable seguirá contribuyendo al crecimiento económico, al seguir dotando de mayor fortaleza a las finanzas públicas y coadyuvar en el desarrollo de los mercados financieros.</w:t>
      </w:r>
    </w:p>
    <w:p w:rsidR="00B83815" w:rsidRDefault="00B83815" w:rsidP="00B83815">
      <w:pPr>
        <w:pStyle w:val="Sangradetextonormal"/>
        <w:ind w:firstLine="993"/>
        <w:rPr>
          <w:rFonts w:ascii="Arial Narrow" w:hAnsi="Arial Narrow"/>
          <w:sz w:val="25"/>
        </w:rPr>
      </w:pPr>
    </w:p>
    <w:p w:rsidR="00B83815" w:rsidRPr="00605C58" w:rsidRDefault="00B83815" w:rsidP="00B83815">
      <w:pPr>
        <w:pStyle w:val="Sangradetextonormal"/>
        <w:ind w:firstLine="0"/>
        <w:jc w:val="left"/>
        <w:rPr>
          <w:rFonts w:ascii="Arial Narrow" w:hAnsi="Arial Narrow"/>
          <w:b/>
          <w:bCs/>
          <w:szCs w:val="28"/>
        </w:rPr>
      </w:pPr>
      <w:r w:rsidRPr="00605C58">
        <w:rPr>
          <w:rFonts w:ascii="Arial Narrow" w:hAnsi="Arial Narrow"/>
          <w:b/>
          <w:bCs/>
          <w:szCs w:val="28"/>
        </w:rPr>
        <w:t>2.1.1.4.- Resultados obtenidos</w:t>
      </w:r>
    </w:p>
    <w:p w:rsidR="00B83815" w:rsidRDefault="00B83815" w:rsidP="00B83815">
      <w:pPr>
        <w:pStyle w:val="Sangradetextonormal"/>
        <w:spacing w:line="240" w:lineRule="auto"/>
        <w:ind w:firstLine="0"/>
        <w:jc w:val="left"/>
        <w:rPr>
          <w:rFonts w:ascii="Arial Narrow" w:hAnsi="Arial Narrow"/>
          <w:szCs w:val="28"/>
        </w:rPr>
      </w:pPr>
    </w:p>
    <w:p w:rsidR="00B83815" w:rsidRPr="00605C58" w:rsidRDefault="00B83815" w:rsidP="00B83815">
      <w:pPr>
        <w:pStyle w:val="Sangradetextonormal"/>
        <w:numPr>
          <w:ilvl w:val="0"/>
          <w:numId w:val="11"/>
        </w:numPr>
        <w:jc w:val="left"/>
        <w:rPr>
          <w:rFonts w:ascii="Arial Narrow" w:hAnsi="Arial Narrow"/>
          <w:b/>
          <w:bCs/>
          <w:szCs w:val="28"/>
        </w:rPr>
      </w:pPr>
      <w:r w:rsidRPr="00605C58">
        <w:rPr>
          <w:rFonts w:ascii="Arial Narrow" w:hAnsi="Arial Narrow"/>
          <w:b/>
          <w:bCs/>
          <w:szCs w:val="28"/>
        </w:rPr>
        <w:t>Balance del Sector Público Presupuestario</w:t>
      </w:r>
    </w:p>
    <w:p w:rsidR="00B83815" w:rsidRPr="00992D26" w:rsidRDefault="00B83815" w:rsidP="00B83815">
      <w:pPr>
        <w:pStyle w:val="Sangradetextonormal"/>
        <w:ind w:firstLine="876"/>
        <w:rPr>
          <w:rFonts w:ascii="Arial Narrow" w:hAnsi="Arial Narrow"/>
          <w:sz w:val="25"/>
        </w:rPr>
      </w:pPr>
    </w:p>
    <w:p w:rsidR="00B83815" w:rsidRPr="00605C58" w:rsidRDefault="00B83815" w:rsidP="00B83815">
      <w:pPr>
        <w:pStyle w:val="Sangradetextonormal"/>
        <w:ind w:firstLine="876"/>
        <w:rPr>
          <w:rFonts w:ascii="Arial Narrow" w:hAnsi="Arial Narrow"/>
          <w:sz w:val="22"/>
          <w:szCs w:val="22"/>
        </w:rPr>
      </w:pPr>
      <w:r w:rsidRPr="00605C58">
        <w:rPr>
          <w:rFonts w:ascii="Arial Narrow" w:hAnsi="Arial Narrow"/>
          <w:sz w:val="22"/>
          <w:szCs w:val="22"/>
        </w:rPr>
        <w:t>Como se comentó anteri</w:t>
      </w:r>
      <w:r>
        <w:rPr>
          <w:rFonts w:ascii="Arial Narrow" w:hAnsi="Arial Narrow"/>
          <w:sz w:val="22"/>
          <w:szCs w:val="22"/>
        </w:rPr>
        <w:t>ormente, durante 2015</w:t>
      </w:r>
      <w:r w:rsidRPr="00605C58">
        <w:rPr>
          <w:rFonts w:ascii="Arial Narrow" w:hAnsi="Arial Narrow"/>
          <w:sz w:val="22"/>
          <w:szCs w:val="22"/>
        </w:rPr>
        <w:t xml:space="preserve"> el sector público presupuestario presentó un défi</w:t>
      </w:r>
      <w:r>
        <w:rPr>
          <w:rFonts w:ascii="Arial Narrow" w:hAnsi="Arial Narrow"/>
          <w:sz w:val="22"/>
          <w:szCs w:val="22"/>
        </w:rPr>
        <w:t>cit por 637 mil 627</w:t>
      </w:r>
      <w:r w:rsidRPr="00605C58">
        <w:rPr>
          <w:rFonts w:ascii="Arial Narrow" w:hAnsi="Arial Narrow"/>
          <w:sz w:val="22"/>
          <w:szCs w:val="22"/>
        </w:rPr>
        <w:t xml:space="preserve"> millones de pesos</w:t>
      </w:r>
      <w:r>
        <w:rPr>
          <w:rFonts w:ascii="Arial Narrow" w:hAnsi="Arial Narrow"/>
          <w:sz w:val="22"/>
          <w:szCs w:val="22"/>
        </w:rPr>
        <w:t>, mismo que fue</w:t>
      </w:r>
      <w:r w:rsidRPr="00605C58">
        <w:rPr>
          <w:rFonts w:ascii="Arial Narrow" w:hAnsi="Arial Narrow"/>
          <w:sz w:val="22"/>
          <w:szCs w:val="22"/>
        </w:rPr>
        <w:t xml:space="preserve"> </w:t>
      </w:r>
      <w:r>
        <w:rPr>
          <w:rFonts w:ascii="Arial Narrow" w:hAnsi="Arial Narrow"/>
          <w:sz w:val="22"/>
          <w:szCs w:val="22"/>
        </w:rPr>
        <w:t>menor en 3</w:t>
      </w:r>
      <w:r w:rsidRPr="00605C58">
        <w:rPr>
          <w:rFonts w:ascii="Arial Narrow" w:hAnsi="Arial Narrow"/>
          <w:sz w:val="22"/>
          <w:szCs w:val="22"/>
        </w:rPr>
        <w:t xml:space="preserve"> mil </w:t>
      </w:r>
      <w:r>
        <w:rPr>
          <w:rFonts w:ascii="Arial Narrow" w:hAnsi="Arial Narrow"/>
          <w:sz w:val="22"/>
          <w:szCs w:val="22"/>
        </w:rPr>
        <w:t>883</w:t>
      </w:r>
      <w:r w:rsidRPr="00605C58">
        <w:rPr>
          <w:rFonts w:ascii="Arial Narrow" w:hAnsi="Arial Narrow"/>
          <w:sz w:val="22"/>
          <w:szCs w:val="22"/>
        </w:rPr>
        <w:t xml:space="preserve"> millones de pesos al previsto originalmente para el año. </w:t>
      </w:r>
      <w:r>
        <w:rPr>
          <w:rFonts w:ascii="Arial Narrow" w:hAnsi="Arial Narrow"/>
          <w:sz w:val="22"/>
          <w:szCs w:val="22"/>
        </w:rPr>
        <w:t>Al excluir la inversión productiva</w:t>
      </w:r>
      <w:r w:rsidRPr="00605C58">
        <w:rPr>
          <w:rFonts w:ascii="Arial Narrow" w:hAnsi="Arial Narrow"/>
          <w:sz w:val="22"/>
          <w:szCs w:val="22"/>
        </w:rPr>
        <w:t xml:space="preserve"> </w:t>
      </w:r>
      <w:r>
        <w:rPr>
          <w:rFonts w:ascii="Arial Narrow" w:hAnsi="Arial Narrow"/>
          <w:sz w:val="22"/>
          <w:szCs w:val="22"/>
        </w:rPr>
        <w:t>resulta un déficit por 184 mil 326</w:t>
      </w:r>
      <w:r w:rsidRPr="00605C58">
        <w:rPr>
          <w:rFonts w:ascii="Arial Narrow" w:hAnsi="Arial Narrow"/>
          <w:sz w:val="22"/>
          <w:szCs w:val="22"/>
        </w:rPr>
        <w:t xml:space="preserve"> millones de p</w:t>
      </w:r>
      <w:r>
        <w:rPr>
          <w:rFonts w:ascii="Arial Narrow" w:hAnsi="Arial Narrow"/>
          <w:sz w:val="22"/>
          <w:szCs w:val="22"/>
        </w:rPr>
        <w:t>esos que es ligeramente superior en 756 millones de pesos, respecto del programado.</w:t>
      </w:r>
    </w:p>
    <w:p w:rsidR="00B83815" w:rsidRPr="00605C58" w:rsidRDefault="00B83815" w:rsidP="00B83815">
      <w:pPr>
        <w:pStyle w:val="Sangradetextonormal"/>
        <w:spacing w:line="240" w:lineRule="auto"/>
        <w:ind w:firstLine="0"/>
        <w:jc w:val="left"/>
        <w:rPr>
          <w:rFonts w:ascii="Arial Narrow" w:hAnsi="Arial Narrow"/>
          <w:sz w:val="22"/>
          <w:szCs w:val="22"/>
        </w:rPr>
      </w:pPr>
    </w:p>
    <w:p w:rsidR="00B83815" w:rsidRPr="00605C58" w:rsidRDefault="00B83815" w:rsidP="00B83815">
      <w:pPr>
        <w:pStyle w:val="Sangradetextonormal"/>
        <w:ind w:firstLine="876"/>
        <w:rPr>
          <w:rFonts w:ascii="Arial Narrow" w:hAnsi="Arial Narrow"/>
          <w:sz w:val="22"/>
          <w:szCs w:val="22"/>
        </w:rPr>
      </w:pPr>
      <w:r w:rsidRPr="00605C58">
        <w:rPr>
          <w:rFonts w:ascii="Arial Narrow" w:hAnsi="Arial Narrow"/>
          <w:sz w:val="22"/>
          <w:szCs w:val="22"/>
        </w:rPr>
        <w:t>Con base en cifras preliminares reportadas por la Secretaría de Hacienda y Crédito Público correspondie</w:t>
      </w:r>
      <w:r>
        <w:rPr>
          <w:rFonts w:ascii="Arial Narrow" w:hAnsi="Arial Narrow"/>
          <w:sz w:val="22"/>
          <w:szCs w:val="22"/>
        </w:rPr>
        <w:t>ntes al cuarto trimestre de 2015</w:t>
      </w:r>
      <w:r w:rsidRPr="00605C58">
        <w:rPr>
          <w:rFonts w:ascii="Arial Narrow" w:hAnsi="Arial Narrow"/>
          <w:sz w:val="22"/>
          <w:szCs w:val="22"/>
        </w:rPr>
        <w:t>, el Balance Público presentó el siguiente comportamiento:</w:t>
      </w:r>
    </w:p>
    <w:p w:rsidR="00B83815" w:rsidRDefault="00B83815" w:rsidP="00B83815">
      <w:pPr>
        <w:pStyle w:val="Sangradetextonormal"/>
        <w:ind w:firstLine="876"/>
        <w:rPr>
          <w:rFonts w:ascii="Arial Narrow" w:hAnsi="Arial Narrow"/>
          <w:sz w:val="22"/>
          <w:szCs w:val="22"/>
        </w:rPr>
      </w:pPr>
      <w:r w:rsidRPr="00605C58">
        <w:rPr>
          <w:rFonts w:ascii="Arial Narrow" w:hAnsi="Arial Narrow"/>
          <w:sz w:val="22"/>
          <w:szCs w:val="22"/>
        </w:rPr>
        <w:t xml:space="preserve"> </w:t>
      </w:r>
    </w:p>
    <w:p w:rsidR="00B83815" w:rsidRPr="00605C58" w:rsidRDefault="00B83815" w:rsidP="00B83815">
      <w:pPr>
        <w:pStyle w:val="Sangradetextonormal"/>
        <w:ind w:firstLine="876"/>
        <w:rPr>
          <w:rFonts w:ascii="Arial Narrow" w:hAnsi="Arial Narrow"/>
          <w:sz w:val="22"/>
          <w:szCs w:val="22"/>
          <w:u w:val="single"/>
        </w:rPr>
      </w:pPr>
      <w:r w:rsidRPr="00605C58">
        <w:rPr>
          <w:rFonts w:ascii="Arial Narrow" w:hAnsi="Arial Narrow"/>
          <w:sz w:val="22"/>
          <w:szCs w:val="22"/>
          <w:u w:val="single"/>
        </w:rPr>
        <w:t>Balance Público con Inversió</w:t>
      </w:r>
      <w:r>
        <w:rPr>
          <w:rFonts w:ascii="Arial Narrow" w:hAnsi="Arial Narrow"/>
          <w:sz w:val="22"/>
          <w:szCs w:val="22"/>
          <w:u w:val="single"/>
        </w:rPr>
        <w:t>n Productiva</w:t>
      </w:r>
    </w:p>
    <w:p w:rsidR="00B83815" w:rsidRPr="00605C58" w:rsidRDefault="00B83815" w:rsidP="00B83815">
      <w:pPr>
        <w:pStyle w:val="Sangradetextonormal"/>
        <w:ind w:firstLine="876"/>
        <w:rPr>
          <w:rFonts w:ascii="Arial Narrow" w:hAnsi="Arial Narrow"/>
          <w:sz w:val="22"/>
          <w:szCs w:val="22"/>
        </w:rPr>
      </w:pPr>
      <w:r>
        <w:rPr>
          <w:rFonts w:ascii="Arial Narrow" w:hAnsi="Arial Narrow"/>
          <w:sz w:val="22"/>
          <w:szCs w:val="22"/>
        </w:rPr>
        <w:tab/>
      </w:r>
      <w:r>
        <w:rPr>
          <w:rFonts w:ascii="Arial Narrow" w:hAnsi="Arial Narrow"/>
          <w:sz w:val="22"/>
          <w:szCs w:val="22"/>
        </w:rPr>
        <w:tab/>
        <w:t>Importe previsto</w:t>
      </w:r>
      <w:r>
        <w:rPr>
          <w:rFonts w:ascii="Arial Narrow" w:hAnsi="Arial Narrow"/>
          <w:sz w:val="22"/>
          <w:szCs w:val="22"/>
        </w:rPr>
        <w:tab/>
      </w:r>
      <w:r>
        <w:rPr>
          <w:rFonts w:ascii="Arial Narrow" w:hAnsi="Arial Narrow"/>
          <w:sz w:val="22"/>
          <w:szCs w:val="22"/>
        </w:rPr>
        <w:tab/>
      </w:r>
      <w:r>
        <w:rPr>
          <w:rFonts w:ascii="Arial Narrow" w:hAnsi="Arial Narrow"/>
          <w:sz w:val="22"/>
          <w:szCs w:val="22"/>
        </w:rPr>
        <w:tab/>
        <w:t>641,510</w:t>
      </w:r>
    </w:p>
    <w:p w:rsidR="00B83815" w:rsidRPr="00605C58" w:rsidRDefault="00B83815" w:rsidP="00B83815">
      <w:pPr>
        <w:pStyle w:val="Sangradetextonormal"/>
        <w:ind w:firstLine="876"/>
        <w:rPr>
          <w:rFonts w:ascii="Arial Narrow" w:hAnsi="Arial Narrow"/>
          <w:sz w:val="22"/>
          <w:szCs w:val="22"/>
        </w:rPr>
      </w:pPr>
      <w:r w:rsidRPr="00605C58">
        <w:rPr>
          <w:rFonts w:ascii="Arial Narrow" w:hAnsi="Arial Narrow"/>
          <w:sz w:val="22"/>
          <w:szCs w:val="22"/>
        </w:rPr>
        <w:tab/>
      </w:r>
      <w:r w:rsidRPr="00605C58">
        <w:rPr>
          <w:rFonts w:ascii="Arial Narrow" w:hAnsi="Arial Narrow"/>
          <w:sz w:val="22"/>
          <w:szCs w:val="22"/>
        </w:rPr>
        <w:tab/>
        <w:t>Déficit generado</w:t>
      </w:r>
      <w:r w:rsidRPr="00605C58">
        <w:rPr>
          <w:rFonts w:ascii="Arial Narrow" w:hAnsi="Arial Narrow"/>
          <w:sz w:val="22"/>
          <w:szCs w:val="22"/>
        </w:rPr>
        <w:tab/>
      </w:r>
      <w:r w:rsidRPr="00605C58">
        <w:rPr>
          <w:rFonts w:ascii="Arial Narrow" w:hAnsi="Arial Narrow"/>
          <w:sz w:val="22"/>
          <w:szCs w:val="22"/>
        </w:rPr>
        <w:tab/>
      </w:r>
      <w:r w:rsidRPr="00605C58">
        <w:rPr>
          <w:rFonts w:ascii="Arial Narrow" w:hAnsi="Arial Narrow"/>
          <w:sz w:val="22"/>
          <w:szCs w:val="22"/>
        </w:rPr>
        <w:tab/>
      </w:r>
      <w:r>
        <w:rPr>
          <w:rFonts w:ascii="Arial Narrow" w:hAnsi="Arial Narrow"/>
          <w:sz w:val="22"/>
          <w:szCs w:val="22"/>
          <w:u w:val="single"/>
        </w:rPr>
        <w:t>637,627</w:t>
      </w:r>
    </w:p>
    <w:p w:rsidR="00B83815" w:rsidRPr="00605C58" w:rsidRDefault="00B83815" w:rsidP="00B83815">
      <w:pPr>
        <w:pStyle w:val="Sangradetextonormal"/>
        <w:ind w:firstLine="876"/>
        <w:rPr>
          <w:rFonts w:ascii="Arial Narrow" w:hAnsi="Arial Narrow"/>
          <w:sz w:val="22"/>
          <w:szCs w:val="22"/>
        </w:rPr>
      </w:pPr>
      <w:r w:rsidRPr="00605C58">
        <w:rPr>
          <w:rFonts w:ascii="Arial Narrow" w:hAnsi="Arial Narrow"/>
          <w:sz w:val="22"/>
          <w:szCs w:val="22"/>
        </w:rPr>
        <w:tab/>
      </w:r>
      <w:r w:rsidRPr="00605C58">
        <w:rPr>
          <w:rFonts w:ascii="Arial Narrow" w:hAnsi="Arial Narrow"/>
          <w:sz w:val="22"/>
          <w:szCs w:val="22"/>
        </w:rPr>
        <w:tab/>
      </w:r>
      <w:r w:rsidRPr="00605C58">
        <w:rPr>
          <w:rFonts w:ascii="Arial Narrow" w:hAnsi="Arial Narrow"/>
          <w:sz w:val="22"/>
          <w:szCs w:val="22"/>
        </w:rPr>
        <w:tab/>
        <w:t>Diferencia:</w:t>
      </w:r>
      <w:r w:rsidRPr="00605C58">
        <w:rPr>
          <w:rFonts w:ascii="Arial Narrow" w:hAnsi="Arial Narrow"/>
          <w:sz w:val="22"/>
          <w:szCs w:val="22"/>
        </w:rPr>
        <w:tab/>
      </w:r>
      <w:r w:rsidRPr="00605C58">
        <w:rPr>
          <w:rFonts w:ascii="Arial Narrow" w:hAnsi="Arial Narrow"/>
          <w:sz w:val="22"/>
          <w:szCs w:val="22"/>
        </w:rPr>
        <w:tab/>
      </w:r>
      <w:r w:rsidRPr="00605C58">
        <w:rPr>
          <w:rFonts w:ascii="Arial Narrow" w:hAnsi="Arial Narrow"/>
          <w:sz w:val="22"/>
          <w:szCs w:val="22"/>
          <w:u w:val="double"/>
        </w:rPr>
        <w:t xml:space="preserve">  </w:t>
      </w:r>
      <w:r>
        <w:rPr>
          <w:rFonts w:ascii="Arial Narrow" w:hAnsi="Arial Narrow"/>
          <w:sz w:val="22"/>
          <w:szCs w:val="22"/>
          <w:u w:val="double"/>
        </w:rPr>
        <w:t xml:space="preserve">  3,883</w:t>
      </w:r>
      <w:r w:rsidRPr="00605C58">
        <w:rPr>
          <w:rFonts w:ascii="Arial Narrow" w:hAnsi="Arial Narrow"/>
          <w:sz w:val="22"/>
          <w:szCs w:val="22"/>
        </w:rPr>
        <w:tab/>
      </w:r>
      <w:r w:rsidRPr="00605C58">
        <w:rPr>
          <w:rFonts w:ascii="Arial Narrow" w:hAnsi="Arial Narrow"/>
          <w:sz w:val="22"/>
          <w:szCs w:val="22"/>
        </w:rPr>
        <w:tab/>
      </w:r>
      <w:r w:rsidRPr="00605C58">
        <w:rPr>
          <w:rFonts w:ascii="Arial Narrow" w:hAnsi="Arial Narrow"/>
          <w:sz w:val="22"/>
          <w:szCs w:val="22"/>
        </w:rPr>
        <w:tab/>
      </w:r>
      <w:r w:rsidRPr="00605C58">
        <w:rPr>
          <w:rFonts w:ascii="Arial Narrow" w:hAnsi="Arial Narrow"/>
          <w:sz w:val="22"/>
          <w:szCs w:val="22"/>
        </w:rPr>
        <w:tab/>
      </w:r>
    </w:p>
    <w:p w:rsidR="00B83815" w:rsidRPr="00605C58" w:rsidRDefault="00B83815" w:rsidP="00B83815">
      <w:pPr>
        <w:pStyle w:val="Sangradetextonormal"/>
        <w:ind w:firstLine="876"/>
        <w:rPr>
          <w:rFonts w:ascii="Arial Narrow" w:hAnsi="Arial Narrow"/>
          <w:sz w:val="22"/>
          <w:szCs w:val="22"/>
          <w:u w:val="single"/>
        </w:rPr>
      </w:pPr>
    </w:p>
    <w:p w:rsidR="00B83815" w:rsidRPr="00605C58" w:rsidRDefault="00B83815" w:rsidP="00B83815">
      <w:pPr>
        <w:pStyle w:val="Sangradetextonormal"/>
        <w:ind w:firstLine="876"/>
        <w:rPr>
          <w:rFonts w:ascii="Arial Narrow" w:hAnsi="Arial Narrow"/>
          <w:sz w:val="22"/>
          <w:szCs w:val="22"/>
          <w:u w:val="single"/>
        </w:rPr>
      </w:pPr>
      <w:r w:rsidRPr="00605C58">
        <w:rPr>
          <w:rFonts w:ascii="Arial Narrow" w:hAnsi="Arial Narrow"/>
          <w:sz w:val="22"/>
          <w:szCs w:val="22"/>
          <w:u w:val="single"/>
        </w:rPr>
        <w:t>Balance Público sin</w:t>
      </w:r>
      <w:r>
        <w:rPr>
          <w:rFonts w:ascii="Arial Narrow" w:hAnsi="Arial Narrow"/>
          <w:sz w:val="22"/>
          <w:szCs w:val="22"/>
          <w:u w:val="single"/>
        </w:rPr>
        <w:t xml:space="preserve"> Inversión Productiva</w:t>
      </w:r>
    </w:p>
    <w:p w:rsidR="00B83815" w:rsidRPr="00605C58" w:rsidRDefault="00B83815" w:rsidP="00B83815">
      <w:pPr>
        <w:pStyle w:val="Sangradetextonormal"/>
        <w:ind w:firstLine="876"/>
        <w:rPr>
          <w:rFonts w:ascii="Arial Narrow" w:hAnsi="Arial Narrow"/>
          <w:sz w:val="22"/>
          <w:szCs w:val="22"/>
        </w:rPr>
      </w:pPr>
      <w:r w:rsidRPr="00605C58">
        <w:rPr>
          <w:rFonts w:ascii="Arial Narrow" w:hAnsi="Arial Narrow"/>
          <w:sz w:val="22"/>
          <w:szCs w:val="22"/>
        </w:rPr>
        <w:tab/>
      </w:r>
      <w:r w:rsidRPr="00605C58">
        <w:rPr>
          <w:rFonts w:ascii="Arial Narrow" w:hAnsi="Arial Narrow"/>
          <w:sz w:val="22"/>
          <w:szCs w:val="22"/>
        </w:rPr>
        <w:tab/>
        <w:t>Importe previsto</w:t>
      </w:r>
      <w:r w:rsidRPr="00605C58">
        <w:rPr>
          <w:rFonts w:ascii="Arial Narrow" w:hAnsi="Arial Narrow"/>
          <w:sz w:val="22"/>
          <w:szCs w:val="22"/>
        </w:rPr>
        <w:tab/>
      </w:r>
      <w:r w:rsidRPr="00605C58">
        <w:rPr>
          <w:rFonts w:ascii="Arial Narrow" w:hAnsi="Arial Narrow"/>
          <w:sz w:val="22"/>
          <w:szCs w:val="22"/>
        </w:rPr>
        <w:tab/>
      </w:r>
      <w:r w:rsidRPr="00605C58">
        <w:rPr>
          <w:rFonts w:ascii="Arial Narrow" w:hAnsi="Arial Narrow"/>
          <w:sz w:val="22"/>
          <w:szCs w:val="22"/>
        </w:rPr>
        <w:tab/>
      </w:r>
      <w:r>
        <w:rPr>
          <w:rFonts w:ascii="Arial Narrow" w:hAnsi="Arial Narrow"/>
          <w:sz w:val="22"/>
          <w:szCs w:val="22"/>
        </w:rPr>
        <w:t>183,570</w:t>
      </w:r>
    </w:p>
    <w:p w:rsidR="00B83815" w:rsidRPr="00605C58" w:rsidRDefault="00B83815" w:rsidP="00B83815">
      <w:pPr>
        <w:pStyle w:val="Sangradetextonormal"/>
        <w:ind w:firstLine="876"/>
        <w:rPr>
          <w:rFonts w:ascii="Arial Narrow" w:hAnsi="Arial Narrow"/>
          <w:sz w:val="22"/>
          <w:szCs w:val="22"/>
        </w:rPr>
      </w:pPr>
      <w:r w:rsidRPr="00605C58">
        <w:rPr>
          <w:rFonts w:ascii="Arial Narrow" w:hAnsi="Arial Narrow"/>
          <w:sz w:val="22"/>
          <w:szCs w:val="22"/>
        </w:rPr>
        <w:tab/>
      </w:r>
      <w:r w:rsidRPr="00605C58">
        <w:rPr>
          <w:rFonts w:ascii="Arial Narrow" w:hAnsi="Arial Narrow"/>
          <w:sz w:val="22"/>
          <w:szCs w:val="22"/>
        </w:rPr>
        <w:tab/>
        <w:t>Déficit generado</w:t>
      </w:r>
      <w:r w:rsidRPr="00605C58">
        <w:rPr>
          <w:rFonts w:ascii="Arial Narrow" w:hAnsi="Arial Narrow"/>
          <w:sz w:val="22"/>
          <w:szCs w:val="22"/>
        </w:rPr>
        <w:tab/>
      </w:r>
      <w:r w:rsidRPr="00605C58">
        <w:rPr>
          <w:rFonts w:ascii="Arial Narrow" w:hAnsi="Arial Narrow"/>
          <w:sz w:val="22"/>
          <w:szCs w:val="22"/>
        </w:rPr>
        <w:tab/>
      </w:r>
      <w:r w:rsidRPr="00605C58">
        <w:rPr>
          <w:rFonts w:ascii="Arial Narrow" w:hAnsi="Arial Narrow"/>
          <w:sz w:val="22"/>
          <w:szCs w:val="22"/>
        </w:rPr>
        <w:tab/>
      </w:r>
      <w:r w:rsidRPr="00605C58">
        <w:rPr>
          <w:rFonts w:ascii="Arial Narrow" w:hAnsi="Arial Narrow"/>
          <w:sz w:val="22"/>
          <w:szCs w:val="22"/>
          <w:u w:val="single"/>
        </w:rPr>
        <w:t>18</w:t>
      </w:r>
      <w:r>
        <w:rPr>
          <w:rFonts w:ascii="Arial Narrow" w:hAnsi="Arial Narrow"/>
          <w:sz w:val="22"/>
          <w:szCs w:val="22"/>
          <w:u w:val="single"/>
        </w:rPr>
        <w:t>4,326</w:t>
      </w:r>
    </w:p>
    <w:p w:rsidR="00B83815" w:rsidRDefault="00B83815" w:rsidP="00B83815">
      <w:pPr>
        <w:pStyle w:val="Sangradetextonormal"/>
        <w:ind w:firstLine="876"/>
        <w:rPr>
          <w:rFonts w:ascii="Arial Narrow" w:hAnsi="Arial Narrow"/>
          <w:sz w:val="25"/>
        </w:rPr>
      </w:pPr>
      <w:r w:rsidRPr="00605C58">
        <w:rPr>
          <w:rFonts w:ascii="Arial Narrow" w:hAnsi="Arial Narrow"/>
          <w:sz w:val="22"/>
          <w:szCs w:val="22"/>
        </w:rPr>
        <w:tab/>
      </w:r>
      <w:r w:rsidRPr="00605C58">
        <w:rPr>
          <w:rFonts w:ascii="Arial Narrow" w:hAnsi="Arial Narrow"/>
          <w:sz w:val="22"/>
          <w:szCs w:val="22"/>
        </w:rPr>
        <w:tab/>
      </w:r>
      <w:r w:rsidRPr="00605C58">
        <w:rPr>
          <w:rFonts w:ascii="Arial Narrow" w:hAnsi="Arial Narrow"/>
          <w:sz w:val="22"/>
          <w:szCs w:val="22"/>
        </w:rPr>
        <w:tab/>
        <w:t>Diferencia:</w:t>
      </w:r>
      <w:r w:rsidRPr="00605C58">
        <w:rPr>
          <w:rFonts w:ascii="Arial Narrow" w:hAnsi="Arial Narrow"/>
          <w:sz w:val="22"/>
          <w:szCs w:val="22"/>
        </w:rPr>
        <w:tab/>
      </w:r>
      <w:r w:rsidRPr="00605C58">
        <w:rPr>
          <w:rFonts w:ascii="Arial Narrow" w:hAnsi="Arial Narrow"/>
          <w:sz w:val="22"/>
          <w:szCs w:val="22"/>
        </w:rPr>
        <w:tab/>
      </w:r>
      <w:r w:rsidRPr="00605C58">
        <w:rPr>
          <w:rFonts w:ascii="Arial Narrow" w:hAnsi="Arial Narrow"/>
          <w:sz w:val="22"/>
          <w:szCs w:val="22"/>
          <w:u w:val="double"/>
        </w:rPr>
        <w:t xml:space="preserve">  </w:t>
      </w:r>
      <w:r>
        <w:rPr>
          <w:rFonts w:ascii="Arial Narrow" w:hAnsi="Arial Narrow"/>
          <w:sz w:val="22"/>
          <w:szCs w:val="22"/>
          <w:u w:val="double"/>
        </w:rPr>
        <w:t xml:space="preserve">    (756)</w:t>
      </w:r>
      <w:r w:rsidRPr="00992D26">
        <w:rPr>
          <w:rFonts w:ascii="Arial Narrow" w:hAnsi="Arial Narrow"/>
          <w:sz w:val="25"/>
        </w:rPr>
        <w:tab/>
      </w:r>
    </w:p>
    <w:p w:rsidR="00B83815" w:rsidRPr="00992D26" w:rsidRDefault="00B83815" w:rsidP="00B83815">
      <w:pPr>
        <w:pStyle w:val="Sangradetextonormal"/>
        <w:ind w:firstLine="876"/>
        <w:rPr>
          <w:rFonts w:ascii="Arial Narrow" w:hAnsi="Arial Narrow"/>
          <w:sz w:val="25"/>
        </w:rPr>
      </w:pPr>
    </w:p>
    <w:p w:rsidR="00B83815" w:rsidRPr="00B818D5" w:rsidRDefault="00B83815" w:rsidP="00B83815">
      <w:pPr>
        <w:pStyle w:val="Sangradetextonormal"/>
        <w:numPr>
          <w:ilvl w:val="0"/>
          <w:numId w:val="11"/>
        </w:numPr>
        <w:spacing w:line="240" w:lineRule="auto"/>
        <w:jc w:val="left"/>
        <w:rPr>
          <w:rFonts w:ascii="Arial Narrow" w:hAnsi="Arial Narrow"/>
          <w:b/>
          <w:bCs/>
          <w:szCs w:val="28"/>
        </w:rPr>
      </w:pPr>
      <w:r w:rsidRPr="00B818D5">
        <w:rPr>
          <w:rFonts w:ascii="Arial Narrow" w:hAnsi="Arial Narrow"/>
          <w:b/>
          <w:bCs/>
          <w:szCs w:val="28"/>
        </w:rPr>
        <w:lastRenderedPageBreak/>
        <w:t>Balance Primario del Sector Público Presupuestario</w:t>
      </w:r>
    </w:p>
    <w:p w:rsidR="00B83815" w:rsidRDefault="00B83815" w:rsidP="00B83815">
      <w:pPr>
        <w:pStyle w:val="Sangradetextonormal"/>
        <w:ind w:firstLine="876"/>
        <w:rPr>
          <w:rFonts w:ascii="Arial Narrow" w:hAnsi="Arial Narrow"/>
          <w:b/>
          <w:sz w:val="25"/>
        </w:rPr>
      </w:pPr>
    </w:p>
    <w:p w:rsidR="00B83815" w:rsidRPr="00B818D5" w:rsidRDefault="00B83815" w:rsidP="00B83815">
      <w:pPr>
        <w:pStyle w:val="Sangradetextonormal"/>
        <w:ind w:firstLine="876"/>
        <w:rPr>
          <w:rFonts w:ascii="Arial Narrow" w:hAnsi="Arial Narrow"/>
          <w:b/>
          <w:sz w:val="25"/>
        </w:rPr>
      </w:pPr>
    </w:p>
    <w:p w:rsidR="00B83815" w:rsidRPr="00B818D5" w:rsidRDefault="00B83815" w:rsidP="00B83815">
      <w:pPr>
        <w:pStyle w:val="Sangradetextonormal"/>
        <w:ind w:firstLine="876"/>
        <w:rPr>
          <w:rFonts w:ascii="Arial Narrow" w:hAnsi="Arial Narrow"/>
          <w:sz w:val="22"/>
          <w:szCs w:val="22"/>
        </w:rPr>
      </w:pPr>
      <w:r w:rsidRPr="00B818D5">
        <w:rPr>
          <w:rFonts w:ascii="Arial Narrow" w:hAnsi="Arial Narrow"/>
          <w:sz w:val="22"/>
          <w:szCs w:val="22"/>
        </w:rPr>
        <w:t xml:space="preserve">El balance primario del sector público, definido como la diferencia entre los ingresos totales y los gastos distintos </w:t>
      </w:r>
      <w:r>
        <w:rPr>
          <w:rFonts w:ascii="Arial Narrow" w:hAnsi="Arial Narrow"/>
          <w:sz w:val="22"/>
          <w:szCs w:val="22"/>
        </w:rPr>
        <w:t xml:space="preserve">del costo financiero, </w:t>
      </w:r>
      <w:r w:rsidRPr="00B818D5">
        <w:rPr>
          <w:rFonts w:ascii="Arial Narrow" w:hAnsi="Arial Narrow"/>
          <w:sz w:val="22"/>
          <w:szCs w:val="22"/>
        </w:rPr>
        <w:t>mostró un déficit de</w:t>
      </w:r>
      <w:r>
        <w:rPr>
          <w:rFonts w:ascii="Arial Narrow" w:hAnsi="Arial Narrow"/>
          <w:sz w:val="22"/>
          <w:szCs w:val="22"/>
        </w:rPr>
        <w:t xml:space="preserve"> 217 mil 571</w:t>
      </w:r>
      <w:r w:rsidRPr="00B818D5">
        <w:rPr>
          <w:rFonts w:ascii="Arial Narrow" w:hAnsi="Arial Narrow"/>
          <w:sz w:val="22"/>
          <w:szCs w:val="22"/>
        </w:rPr>
        <w:t xml:space="preserve"> millones de pesos, resultando</w:t>
      </w:r>
      <w:r>
        <w:rPr>
          <w:rFonts w:ascii="Arial Narrow" w:hAnsi="Arial Narrow"/>
          <w:sz w:val="22"/>
          <w:szCs w:val="22"/>
        </w:rPr>
        <w:t xml:space="preserve"> menor en</w:t>
      </w:r>
      <w:r w:rsidRPr="00B818D5">
        <w:rPr>
          <w:rFonts w:ascii="Arial Narrow" w:hAnsi="Arial Narrow"/>
          <w:sz w:val="22"/>
          <w:szCs w:val="22"/>
        </w:rPr>
        <w:t xml:space="preserve"> </w:t>
      </w:r>
      <w:r>
        <w:rPr>
          <w:rFonts w:ascii="Arial Narrow" w:hAnsi="Arial Narrow"/>
          <w:sz w:val="22"/>
          <w:szCs w:val="22"/>
        </w:rPr>
        <w:t xml:space="preserve">21 mil 962 millones de pesos </w:t>
      </w:r>
      <w:r w:rsidRPr="00B818D5">
        <w:rPr>
          <w:rFonts w:ascii="Arial Narrow" w:hAnsi="Arial Narrow"/>
          <w:sz w:val="22"/>
          <w:szCs w:val="22"/>
        </w:rPr>
        <w:t xml:space="preserve">al previsto para </w:t>
      </w:r>
      <w:r>
        <w:rPr>
          <w:rFonts w:ascii="Arial Narrow" w:hAnsi="Arial Narrow"/>
          <w:sz w:val="22"/>
          <w:szCs w:val="22"/>
        </w:rPr>
        <w:t>2015</w:t>
      </w:r>
      <w:r w:rsidRPr="00B818D5">
        <w:rPr>
          <w:rFonts w:ascii="Arial Narrow" w:hAnsi="Arial Narrow"/>
          <w:sz w:val="22"/>
          <w:szCs w:val="22"/>
        </w:rPr>
        <w:t>.</w:t>
      </w:r>
    </w:p>
    <w:p w:rsidR="00B83815" w:rsidRPr="00992D26" w:rsidRDefault="00B83815" w:rsidP="00B83815">
      <w:pPr>
        <w:pStyle w:val="Sangradetextonormal"/>
        <w:ind w:firstLine="876"/>
        <w:rPr>
          <w:rFonts w:ascii="Arial Narrow" w:hAnsi="Arial Narrow"/>
          <w:sz w:val="25"/>
        </w:rPr>
      </w:pPr>
    </w:p>
    <w:p w:rsidR="00B83815" w:rsidRDefault="00B83815" w:rsidP="00B83815">
      <w:pPr>
        <w:pStyle w:val="Sangradetextonormal"/>
        <w:ind w:firstLine="0"/>
        <w:jc w:val="left"/>
        <w:rPr>
          <w:rFonts w:ascii="Arial Narrow" w:hAnsi="Arial Narrow"/>
          <w:b/>
          <w:bCs/>
          <w:szCs w:val="28"/>
        </w:rPr>
      </w:pPr>
    </w:p>
    <w:p w:rsidR="00B83815" w:rsidRPr="000616EB" w:rsidRDefault="00B83815" w:rsidP="00B83815">
      <w:pPr>
        <w:pStyle w:val="Sangradetextonormal"/>
        <w:ind w:firstLine="0"/>
        <w:jc w:val="left"/>
        <w:rPr>
          <w:rFonts w:ascii="Arial Narrow" w:hAnsi="Arial Narrow"/>
          <w:b/>
          <w:bCs/>
          <w:szCs w:val="28"/>
        </w:rPr>
      </w:pPr>
      <w:r w:rsidRPr="000616EB">
        <w:rPr>
          <w:rFonts w:ascii="Arial Narrow" w:hAnsi="Arial Narrow"/>
          <w:b/>
          <w:bCs/>
          <w:szCs w:val="28"/>
        </w:rPr>
        <w:t>2.1.2.- Ámbito Estatal</w:t>
      </w:r>
    </w:p>
    <w:p w:rsidR="00B83815" w:rsidRPr="000616EB" w:rsidRDefault="00B83815" w:rsidP="00B83815">
      <w:pPr>
        <w:pStyle w:val="Sangradetextonormal"/>
        <w:ind w:firstLine="0"/>
        <w:jc w:val="left"/>
        <w:rPr>
          <w:rFonts w:ascii="Arial Narrow" w:hAnsi="Arial Narrow"/>
          <w:b/>
          <w:bCs/>
          <w:szCs w:val="28"/>
        </w:rPr>
      </w:pPr>
    </w:p>
    <w:p w:rsidR="00B83815" w:rsidRPr="000616EB" w:rsidRDefault="00B83815" w:rsidP="00B83815">
      <w:pPr>
        <w:pStyle w:val="Sangradetextonormal"/>
        <w:ind w:firstLine="0"/>
        <w:jc w:val="left"/>
        <w:rPr>
          <w:rFonts w:ascii="Arial Narrow" w:hAnsi="Arial Narrow"/>
          <w:b/>
          <w:bCs/>
          <w:szCs w:val="28"/>
        </w:rPr>
      </w:pPr>
      <w:r w:rsidRPr="000616EB">
        <w:rPr>
          <w:rFonts w:ascii="Arial Narrow" w:hAnsi="Arial Narrow"/>
          <w:b/>
          <w:bCs/>
          <w:szCs w:val="28"/>
        </w:rPr>
        <w:t>2.1.2.1- Política Económica</w:t>
      </w:r>
    </w:p>
    <w:p w:rsidR="00B83815" w:rsidRDefault="00B83815" w:rsidP="00B83815">
      <w:pPr>
        <w:pStyle w:val="Sangradetextonormal"/>
        <w:spacing w:line="240" w:lineRule="auto"/>
        <w:ind w:firstLine="873"/>
        <w:rPr>
          <w:rFonts w:ascii="Arial Narrow" w:hAnsi="Arial Narrow"/>
          <w:b/>
          <w:bCs/>
          <w:sz w:val="32"/>
          <w:szCs w:val="32"/>
        </w:rPr>
      </w:pPr>
      <w:r w:rsidRPr="00992D26">
        <w:rPr>
          <w:rFonts w:ascii="Arial Narrow" w:hAnsi="Arial Narrow"/>
          <w:b/>
          <w:bCs/>
          <w:sz w:val="32"/>
          <w:szCs w:val="32"/>
        </w:rPr>
        <w:tab/>
      </w:r>
    </w:p>
    <w:p w:rsidR="00B83815" w:rsidRPr="00992D26" w:rsidRDefault="00B83815" w:rsidP="00B83815">
      <w:pPr>
        <w:pStyle w:val="Sangradetextonormal"/>
        <w:spacing w:line="240" w:lineRule="auto"/>
        <w:ind w:firstLine="873"/>
        <w:rPr>
          <w:rFonts w:ascii="Arial Narrow" w:hAnsi="Arial Narrow"/>
          <w:b/>
          <w:bCs/>
          <w:sz w:val="32"/>
          <w:szCs w:val="32"/>
        </w:rPr>
      </w:pPr>
    </w:p>
    <w:p w:rsidR="00B83815" w:rsidRPr="000616EB" w:rsidRDefault="00B83815" w:rsidP="00B83815">
      <w:pPr>
        <w:pStyle w:val="Sangradetextonormal"/>
        <w:ind w:firstLine="876"/>
        <w:rPr>
          <w:rFonts w:ascii="Arial Narrow" w:hAnsi="Arial Narrow"/>
          <w:sz w:val="22"/>
          <w:szCs w:val="22"/>
        </w:rPr>
      </w:pPr>
      <w:r w:rsidRPr="000616EB">
        <w:rPr>
          <w:rFonts w:ascii="Arial Narrow" w:hAnsi="Arial Narrow"/>
          <w:sz w:val="22"/>
          <w:szCs w:val="22"/>
        </w:rPr>
        <w:t>El Plan Estatal de Desarrollo de Nayarit 2011 – 2017 tiene como visión lograr un Estado con altos índices de desarrollo en todas sus regiones, basado en un nuevo modelo, promotor del empleo, aprovechando de manera sustentable los recursos naturales, creando la infraestructura pública y apoyando la investigación científica, tecnológica e innovación que incremente la productividad, detone nuevas opciones que fortalezcan a los diversos sectores económicos y que se traduzca en un crecimiento integral generador de bienestar social, incluyente y equitativo.</w:t>
      </w:r>
    </w:p>
    <w:p w:rsidR="00B83815" w:rsidRPr="000616EB" w:rsidRDefault="00B83815" w:rsidP="00B83815">
      <w:pPr>
        <w:pStyle w:val="Sangradetextonormal"/>
        <w:spacing w:line="480" w:lineRule="auto"/>
        <w:ind w:firstLine="876"/>
        <w:rPr>
          <w:rFonts w:ascii="Arial Narrow" w:hAnsi="Arial Narrow"/>
          <w:sz w:val="22"/>
          <w:szCs w:val="22"/>
        </w:rPr>
      </w:pPr>
    </w:p>
    <w:p w:rsidR="00B83815" w:rsidRDefault="00B83815" w:rsidP="00B83815">
      <w:pPr>
        <w:pStyle w:val="Sangradetextonormal"/>
        <w:ind w:firstLine="876"/>
        <w:rPr>
          <w:rFonts w:ascii="Arial Narrow" w:hAnsi="Arial Narrow"/>
          <w:sz w:val="22"/>
          <w:szCs w:val="22"/>
        </w:rPr>
      </w:pPr>
      <w:r w:rsidRPr="000616EB">
        <w:rPr>
          <w:rFonts w:ascii="Arial Narrow" w:hAnsi="Arial Narrow"/>
          <w:sz w:val="22"/>
          <w:szCs w:val="22"/>
        </w:rPr>
        <w:t>En correspondencia con lo expresado en el párrafo anterior, la Política para el Desarrollo Económico que se plantea en el Plan mencionado, está orientada a la operación de programas de creación regulada de infraestructura y servicios públicos para el desarrollo agropecuario, pesquero, acuícola, silvícola, minero, industrial, manufacturero, turístico, comercial y de servicios, así como acciones de fomento a la inversión pública y privada.</w:t>
      </w:r>
    </w:p>
    <w:p w:rsidR="00B83815" w:rsidRPr="000616EB" w:rsidRDefault="00B83815" w:rsidP="00B83815">
      <w:pPr>
        <w:pStyle w:val="Sangradetextonormal"/>
        <w:ind w:firstLine="876"/>
        <w:rPr>
          <w:rFonts w:ascii="Arial Narrow" w:hAnsi="Arial Narrow"/>
          <w:sz w:val="22"/>
          <w:szCs w:val="22"/>
        </w:rPr>
      </w:pPr>
    </w:p>
    <w:p w:rsidR="00B83815" w:rsidRPr="000616EB" w:rsidRDefault="00B83815" w:rsidP="00B83815">
      <w:pPr>
        <w:pStyle w:val="Sangradetextonormal"/>
        <w:ind w:firstLine="876"/>
        <w:rPr>
          <w:rFonts w:ascii="Arial Narrow" w:hAnsi="Arial Narrow"/>
          <w:sz w:val="22"/>
          <w:szCs w:val="22"/>
        </w:rPr>
      </w:pPr>
      <w:r w:rsidRPr="000616EB">
        <w:rPr>
          <w:rFonts w:ascii="Arial Narrow" w:hAnsi="Arial Narrow"/>
          <w:sz w:val="22"/>
          <w:szCs w:val="22"/>
        </w:rPr>
        <w:lastRenderedPageBreak/>
        <w:t xml:space="preserve">Al respecto, los principales objetivos, estrategias y metas de la Política Económica fijados por la actual administración, se presentan en el siguiente esquema: </w:t>
      </w:r>
    </w:p>
    <w:p w:rsidR="00B83815" w:rsidRDefault="00B83815" w:rsidP="00B83815">
      <w:pPr>
        <w:pStyle w:val="Texto"/>
        <w:ind w:firstLine="0"/>
        <w:jc w:val="center"/>
        <w:outlineLvl w:val="0"/>
        <w:rPr>
          <w:rFonts w:ascii="Arial Narrow" w:hAnsi="Arial Narrow"/>
          <w:b/>
          <w:sz w:val="20"/>
          <w:szCs w:val="20"/>
        </w:rPr>
      </w:pPr>
    </w:p>
    <w:p w:rsidR="00B83815" w:rsidRPr="00992D26" w:rsidRDefault="00B83815" w:rsidP="00B83815">
      <w:pPr>
        <w:pStyle w:val="Texto"/>
        <w:ind w:firstLine="0"/>
        <w:jc w:val="center"/>
        <w:outlineLvl w:val="0"/>
        <w:rPr>
          <w:rFonts w:ascii="Arial Narrow" w:hAnsi="Arial Narrow"/>
          <w:b/>
          <w:sz w:val="20"/>
          <w:szCs w:val="20"/>
        </w:rPr>
      </w:pPr>
    </w:p>
    <w:p w:rsidR="00B83815" w:rsidRPr="00992D26" w:rsidRDefault="00B83815" w:rsidP="00B83815">
      <w:pPr>
        <w:pStyle w:val="Texto"/>
        <w:ind w:firstLine="0"/>
        <w:jc w:val="center"/>
        <w:outlineLvl w:val="0"/>
        <w:rPr>
          <w:rFonts w:ascii="Arial Narrow" w:hAnsi="Arial Narrow"/>
          <w:b/>
          <w:sz w:val="20"/>
          <w:szCs w:val="20"/>
        </w:rPr>
      </w:pPr>
      <w:r w:rsidRPr="00992D26">
        <w:rPr>
          <w:rFonts w:ascii="Arial Narrow" w:hAnsi="Arial Narrow"/>
          <w:b/>
          <w:sz w:val="20"/>
          <w:szCs w:val="20"/>
        </w:rPr>
        <w:t xml:space="preserve">POLÍTICA ECONÓMICA </w:t>
      </w:r>
    </w:p>
    <w:p w:rsidR="00B83815" w:rsidRPr="00992D26" w:rsidRDefault="00B83815" w:rsidP="00B83815">
      <w:pPr>
        <w:pStyle w:val="Texto"/>
        <w:ind w:firstLine="0"/>
        <w:jc w:val="center"/>
        <w:outlineLvl w:val="0"/>
        <w:rPr>
          <w:rFonts w:ascii="Arial Narrow" w:hAnsi="Arial Narrow"/>
          <w:b/>
        </w:rPr>
      </w:pPr>
    </w:p>
    <w:tbl>
      <w:tblPr>
        <w:tblW w:w="8712" w:type="dxa"/>
        <w:jc w:val="center"/>
        <w:tblInd w:w="144" w:type="dxa"/>
        <w:tblBorders>
          <w:top w:val="single" w:sz="12" w:space="0" w:color="auto"/>
          <w:bottom w:val="single" w:sz="12"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B83815" w:rsidRPr="00992D26" w:rsidTr="00934835">
        <w:trPr>
          <w:cantSplit/>
          <w:jc w:val="center"/>
        </w:trPr>
        <w:tc>
          <w:tcPr>
            <w:tcW w:w="9639" w:type="dxa"/>
            <w:noWrap/>
          </w:tcPr>
          <w:p w:rsidR="00B83815" w:rsidRPr="00992D26" w:rsidRDefault="00B83815" w:rsidP="00934835">
            <w:pPr>
              <w:pStyle w:val="Texto"/>
              <w:ind w:firstLine="0"/>
              <w:rPr>
                <w:rFonts w:ascii="Arial Narrow" w:hAnsi="Arial Narrow"/>
                <w:b/>
              </w:rPr>
            </w:pPr>
            <w:r w:rsidRPr="00992D26">
              <w:rPr>
                <w:rFonts w:ascii="Arial Narrow" w:hAnsi="Arial Narrow"/>
                <w:b/>
              </w:rPr>
              <w:t>OBJETIVOS</w:t>
            </w:r>
          </w:p>
          <w:p w:rsidR="00B83815" w:rsidRPr="00992D26" w:rsidRDefault="00B83815" w:rsidP="00934835">
            <w:pPr>
              <w:pStyle w:val="Texto"/>
              <w:ind w:left="343" w:firstLine="0"/>
              <w:rPr>
                <w:rFonts w:ascii="Arial Narrow" w:hAnsi="Arial Narrow"/>
              </w:rPr>
            </w:pPr>
            <w:r w:rsidRPr="00992D26">
              <w:rPr>
                <w:rFonts w:ascii="Arial Narrow" w:hAnsi="Arial Narrow"/>
              </w:rPr>
              <w:t>●</w:t>
            </w:r>
            <w:r w:rsidRPr="00992D26">
              <w:rPr>
                <w:rFonts w:ascii="Arial Narrow" w:hAnsi="Arial Narrow"/>
              </w:rPr>
              <w:tab/>
              <w:t>Detonar el Crecimiento Económico del Estado.</w:t>
            </w:r>
          </w:p>
          <w:p w:rsidR="00B83815" w:rsidRPr="00992D26" w:rsidRDefault="00B83815" w:rsidP="00934835">
            <w:pPr>
              <w:pStyle w:val="Texto"/>
              <w:ind w:left="343" w:firstLine="0"/>
              <w:rPr>
                <w:rFonts w:ascii="Arial Narrow" w:hAnsi="Arial Narrow"/>
              </w:rPr>
            </w:pPr>
            <w:r w:rsidRPr="00992D26">
              <w:rPr>
                <w:rFonts w:ascii="Arial Narrow" w:hAnsi="Arial Narrow"/>
              </w:rPr>
              <w:t>●</w:t>
            </w:r>
            <w:r w:rsidRPr="00992D26">
              <w:rPr>
                <w:rFonts w:ascii="Arial Narrow" w:hAnsi="Arial Narrow"/>
              </w:rPr>
              <w:tab/>
              <w:t>Sentar las bases para la generación de empleos permanentes y de calidad.</w:t>
            </w:r>
          </w:p>
          <w:p w:rsidR="00B83815" w:rsidRPr="00992D26" w:rsidRDefault="00B83815" w:rsidP="00934835">
            <w:pPr>
              <w:pStyle w:val="Texto"/>
              <w:ind w:left="343" w:firstLine="0"/>
              <w:rPr>
                <w:rFonts w:ascii="Arial Narrow" w:hAnsi="Arial Narrow"/>
              </w:rPr>
            </w:pPr>
            <w:r w:rsidRPr="00992D26">
              <w:rPr>
                <w:rFonts w:ascii="Arial Narrow" w:hAnsi="Arial Narrow"/>
              </w:rPr>
              <w:t>●</w:t>
            </w:r>
            <w:r w:rsidRPr="00992D26">
              <w:rPr>
                <w:rFonts w:ascii="Arial Narrow" w:hAnsi="Arial Narrow"/>
              </w:rPr>
              <w:tab/>
              <w:t>Elevar el nivel de vida de las y los Nayaritas.</w:t>
            </w:r>
          </w:p>
        </w:tc>
      </w:tr>
      <w:tr w:rsidR="00B83815" w:rsidRPr="00992D26" w:rsidTr="00934835">
        <w:trPr>
          <w:cantSplit/>
          <w:jc w:val="center"/>
        </w:trPr>
        <w:tc>
          <w:tcPr>
            <w:tcW w:w="9639" w:type="dxa"/>
          </w:tcPr>
          <w:p w:rsidR="00B83815" w:rsidRPr="00992D26" w:rsidRDefault="00B83815" w:rsidP="00934835">
            <w:pPr>
              <w:pStyle w:val="Texto"/>
              <w:ind w:firstLine="0"/>
              <w:rPr>
                <w:rFonts w:ascii="Arial Narrow" w:hAnsi="Arial Narrow"/>
              </w:rPr>
            </w:pPr>
            <w:r w:rsidRPr="00992D26">
              <w:rPr>
                <w:rFonts w:ascii="Arial Narrow" w:hAnsi="Arial Narrow"/>
                <w:b/>
              </w:rPr>
              <w:t>ESTRATEGIAS</w:t>
            </w:r>
          </w:p>
          <w:p w:rsidR="00B83815" w:rsidRPr="00992D26" w:rsidRDefault="00B83815" w:rsidP="00934835">
            <w:pPr>
              <w:pStyle w:val="Texto"/>
              <w:ind w:left="343" w:firstLine="0"/>
              <w:rPr>
                <w:rFonts w:ascii="Arial Narrow" w:hAnsi="Arial Narrow"/>
              </w:rPr>
            </w:pPr>
            <w:r w:rsidRPr="00992D26">
              <w:rPr>
                <w:rFonts w:ascii="Arial Narrow" w:hAnsi="Arial Narrow"/>
              </w:rPr>
              <w:t>●</w:t>
            </w:r>
            <w:r w:rsidRPr="00992D26">
              <w:rPr>
                <w:rFonts w:ascii="Arial Narrow" w:hAnsi="Arial Narrow"/>
              </w:rPr>
              <w:tab/>
              <w:t>Implementar un programa estratégico de desarrollo industrial del Estado de Nayarit.</w:t>
            </w:r>
          </w:p>
          <w:p w:rsidR="00B83815" w:rsidRPr="00992D26" w:rsidRDefault="00B83815" w:rsidP="00934835">
            <w:pPr>
              <w:pStyle w:val="Texto"/>
              <w:ind w:left="703" w:hanging="360"/>
              <w:rPr>
                <w:rFonts w:ascii="Arial Narrow" w:hAnsi="Arial Narrow"/>
              </w:rPr>
            </w:pPr>
            <w:r w:rsidRPr="00992D26">
              <w:rPr>
                <w:rFonts w:ascii="Arial Narrow" w:hAnsi="Arial Narrow"/>
              </w:rPr>
              <w:t>●</w:t>
            </w:r>
            <w:r w:rsidRPr="00992D26">
              <w:rPr>
                <w:rFonts w:ascii="Arial Narrow" w:hAnsi="Arial Narrow"/>
              </w:rPr>
              <w:tab/>
              <w:t>Generar proyectos de gran impacto para el desarrollo estatal aprovechando la infraestructura disponible y el capital humano.</w:t>
            </w:r>
          </w:p>
          <w:p w:rsidR="00B83815" w:rsidRPr="00992D26" w:rsidRDefault="00B83815" w:rsidP="00934835">
            <w:pPr>
              <w:pStyle w:val="Texto"/>
              <w:ind w:left="703" w:hanging="360"/>
              <w:rPr>
                <w:rFonts w:ascii="Arial Narrow" w:hAnsi="Arial Narrow"/>
              </w:rPr>
            </w:pPr>
            <w:r w:rsidRPr="00992D26">
              <w:rPr>
                <w:rFonts w:ascii="Arial Narrow" w:hAnsi="Arial Narrow"/>
              </w:rPr>
              <w:t>●</w:t>
            </w:r>
            <w:r w:rsidRPr="00992D26">
              <w:rPr>
                <w:rFonts w:ascii="Arial Narrow" w:hAnsi="Arial Narrow"/>
              </w:rPr>
              <w:tab/>
              <w:t>Vincular el sector productivo con la comunidad científica.</w:t>
            </w:r>
          </w:p>
          <w:p w:rsidR="00B83815" w:rsidRPr="00992D26" w:rsidRDefault="00B83815" w:rsidP="00934835">
            <w:pPr>
              <w:pStyle w:val="Texto"/>
              <w:ind w:left="703" w:hanging="360"/>
              <w:rPr>
                <w:rFonts w:ascii="Arial Narrow" w:hAnsi="Arial Narrow"/>
              </w:rPr>
            </w:pPr>
            <w:r w:rsidRPr="00992D26">
              <w:rPr>
                <w:rFonts w:ascii="Arial Narrow" w:hAnsi="Arial Narrow"/>
              </w:rPr>
              <w:t>●</w:t>
            </w:r>
            <w:r w:rsidRPr="00992D26">
              <w:rPr>
                <w:rFonts w:ascii="Arial Narrow" w:hAnsi="Arial Narrow"/>
              </w:rPr>
              <w:tab/>
              <w:t>Impulsar la integración del comercio, el abasto y el mercado interno.</w:t>
            </w:r>
          </w:p>
          <w:p w:rsidR="00B83815" w:rsidRPr="00992D26" w:rsidRDefault="00B83815" w:rsidP="00934835">
            <w:pPr>
              <w:pStyle w:val="Texto"/>
              <w:ind w:left="703" w:hanging="360"/>
              <w:rPr>
                <w:rFonts w:ascii="Arial Narrow" w:hAnsi="Arial Narrow"/>
              </w:rPr>
            </w:pPr>
            <w:r w:rsidRPr="00992D26">
              <w:rPr>
                <w:rFonts w:ascii="Arial Narrow" w:hAnsi="Arial Narrow"/>
              </w:rPr>
              <w:t>●</w:t>
            </w:r>
            <w:r w:rsidRPr="00992D26">
              <w:rPr>
                <w:rFonts w:ascii="Arial Narrow" w:hAnsi="Arial Narrow"/>
              </w:rPr>
              <w:tab/>
              <w:t>Fortalecer actividades de integración de nuevas empresas al mercado.</w:t>
            </w:r>
          </w:p>
          <w:p w:rsidR="00B83815" w:rsidRPr="00992D26" w:rsidRDefault="00B83815" w:rsidP="00934835">
            <w:pPr>
              <w:pStyle w:val="Texto"/>
              <w:ind w:left="703" w:hanging="360"/>
              <w:rPr>
                <w:rFonts w:ascii="Arial Narrow" w:hAnsi="Arial Narrow"/>
              </w:rPr>
            </w:pPr>
            <w:r w:rsidRPr="00992D26">
              <w:rPr>
                <w:rFonts w:ascii="Arial Narrow" w:hAnsi="Arial Narrow"/>
              </w:rPr>
              <w:t>●</w:t>
            </w:r>
            <w:r w:rsidRPr="00992D26">
              <w:rPr>
                <w:rFonts w:ascii="Arial Narrow" w:hAnsi="Arial Narrow"/>
              </w:rPr>
              <w:tab/>
            </w:r>
            <w:proofErr w:type="spellStart"/>
            <w:r w:rsidRPr="00992D26">
              <w:rPr>
                <w:rFonts w:ascii="Arial Narrow" w:hAnsi="Arial Narrow"/>
              </w:rPr>
              <w:t>Eficientar</w:t>
            </w:r>
            <w:proofErr w:type="spellEnd"/>
            <w:r w:rsidRPr="00992D26">
              <w:rPr>
                <w:rFonts w:ascii="Arial Narrow" w:hAnsi="Arial Narrow"/>
              </w:rPr>
              <w:t xml:space="preserve"> la conectividad y articular las regiones del Estado.</w:t>
            </w:r>
          </w:p>
          <w:p w:rsidR="00B83815" w:rsidRPr="00992D26" w:rsidRDefault="00B83815" w:rsidP="00934835">
            <w:pPr>
              <w:pStyle w:val="Texto"/>
              <w:ind w:left="703" w:hanging="360"/>
              <w:rPr>
                <w:rFonts w:ascii="Arial Narrow" w:hAnsi="Arial Narrow"/>
              </w:rPr>
            </w:pPr>
            <w:r w:rsidRPr="00992D26">
              <w:rPr>
                <w:rFonts w:ascii="Arial Narrow" w:hAnsi="Arial Narrow"/>
              </w:rPr>
              <w:t>●</w:t>
            </w:r>
            <w:r w:rsidRPr="00992D26">
              <w:rPr>
                <w:rFonts w:ascii="Arial Narrow" w:hAnsi="Arial Narrow"/>
              </w:rPr>
              <w:tab/>
              <w:t>Generar un nuevo modelo para el desarrollo rural que mejore la rentabilidad de las actividades productivas.</w:t>
            </w:r>
          </w:p>
          <w:p w:rsidR="00B83815" w:rsidRPr="00992D26" w:rsidRDefault="00B83815" w:rsidP="00934835">
            <w:pPr>
              <w:pStyle w:val="Texto"/>
              <w:ind w:left="703" w:hanging="360"/>
              <w:rPr>
                <w:rFonts w:ascii="Arial Narrow" w:hAnsi="Arial Narrow"/>
              </w:rPr>
            </w:pPr>
            <w:r w:rsidRPr="00992D26">
              <w:rPr>
                <w:rFonts w:ascii="Arial Narrow" w:hAnsi="Arial Narrow"/>
              </w:rPr>
              <w:t>●</w:t>
            </w:r>
            <w:r w:rsidRPr="00992D26">
              <w:rPr>
                <w:rFonts w:ascii="Arial Narrow" w:hAnsi="Arial Narrow"/>
              </w:rPr>
              <w:tab/>
              <w:t>Acciones de fomento de la actividad turística, acorde a potencialidades de las diferentes cadenas productivas.</w:t>
            </w:r>
          </w:p>
        </w:tc>
      </w:tr>
      <w:tr w:rsidR="00B83815" w:rsidRPr="00992D26" w:rsidTr="00934835">
        <w:trPr>
          <w:cantSplit/>
          <w:jc w:val="center"/>
        </w:trPr>
        <w:tc>
          <w:tcPr>
            <w:tcW w:w="9639" w:type="dxa"/>
            <w:tcBorders>
              <w:bottom w:val="single" w:sz="12" w:space="0" w:color="auto"/>
            </w:tcBorders>
          </w:tcPr>
          <w:p w:rsidR="00B83815" w:rsidRPr="00992D26" w:rsidRDefault="00B83815" w:rsidP="00934835">
            <w:pPr>
              <w:pStyle w:val="Texto"/>
              <w:ind w:firstLine="0"/>
              <w:rPr>
                <w:rFonts w:ascii="Arial Narrow" w:hAnsi="Arial Narrow"/>
                <w:b/>
              </w:rPr>
            </w:pPr>
            <w:r w:rsidRPr="00992D26">
              <w:rPr>
                <w:rFonts w:ascii="Arial Narrow" w:hAnsi="Arial Narrow"/>
                <w:b/>
              </w:rPr>
              <w:t>METAS</w:t>
            </w:r>
          </w:p>
          <w:p w:rsidR="00B83815" w:rsidRPr="00992D26" w:rsidRDefault="00B83815" w:rsidP="00934835">
            <w:pPr>
              <w:pStyle w:val="Texto"/>
              <w:tabs>
                <w:tab w:val="left" w:pos="727"/>
                <w:tab w:val="left" w:pos="4003"/>
              </w:tabs>
              <w:ind w:left="648" w:hanging="305"/>
              <w:rPr>
                <w:rFonts w:ascii="Arial Narrow" w:hAnsi="Arial Narrow"/>
              </w:rPr>
            </w:pPr>
            <w:r w:rsidRPr="00992D26">
              <w:rPr>
                <w:rFonts w:ascii="Arial Narrow" w:hAnsi="Arial Narrow"/>
              </w:rPr>
              <w:t>●</w:t>
            </w:r>
            <w:r w:rsidRPr="00992D26">
              <w:rPr>
                <w:rFonts w:ascii="Arial Narrow" w:hAnsi="Arial Narrow"/>
              </w:rPr>
              <w:tab/>
              <w:t>Generar empleos calificados en cadenas de valor, que articulen las unidades económicas con los mercados regionales, nacionales e internacionales.</w:t>
            </w:r>
          </w:p>
          <w:p w:rsidR="00B83815" w:rsidRPr="00992D26" w:rsidRDefault="00B83815" w:rsidP="00934835">
            <w:pPr>
              <w:pStyle w:val="Texto"/>
              <w:tabs>
                <w:tab w:val="left" w:pos="288"/>
                <w:tab w:val="left" w:pos="4003"/>
              </w:tabs>
              <w:ind w:left="648" w:hanging="360"/>
              <w:rPr>
                <w:rFonts w:ascii="Arial Narrow" w:hAnsi="Arial Narrow"/>
              </w:rPr>
            </w:pPr>
            <w:r w:rsidRPr="00992D26">
              <w:rPr>
                <w:rFonts w:ascii="Arial Narrow" w:hAnsi="Arial Narrow"/>
              </w:rPr>
              <w:t xml:space="preserve"> ● </w:t>
            </w:r>
            <w:r>
              <w:rPr>
                <w:rFonts w:ascii="Arial Narrow" w:hAnsi="Arial Narrow"/>
              </w:rPr>
              <w:t xml:space="preserve">  </w:t>
            </w:r>
            <w:r w:rsidRPr="00992D26">
              <w:rPr>
                <w:rFonts w:ascii="Arial Narrow" w:hAnsi="Arial Narrow"/>
              </w:rPr>
              <w:t xml:space="preserve"> Impulsar y fortalecer a las medianas, pequeñas y micro empresas, así como incubadoras y emprendedores.</w:t>
            </w:r>
          </w:p>
          <w:p w:rsidR="00B83815" w:rsidRPr="00992D26" w:rsidRDefault="00B83815" w:rsidP="00934835">
            <w:pPr>
              <w:pStyle w:val="Texto"/>
              <w:ind w:left="648" w:hanging="305"/>
              <w:rPr>
                <w:rFonts w:ascii="Arial Narrow" w:hAnsi="Arial Narrow"/>
              </w:rPr>
            </w:pPr>
            <w:r w:rsidRPr="00992D26">
              <w:rPr>
                <w:rFonts w:ascii="Arial Narrow" w:hAnsi="Arial Narrow"/>
              </w:rPr>
              <w:t>●    Incremento sostenido de la productividad y competitividad de las actividades agrícolas, ganaderas, silvícolas, acuícolas y pesqueras.</w:t>
            </w:r>
          </w:p>
          <w:p w:rsidR="00B83815" w:rsidRPr="00992D26" w:rsidRDefault="00B83815" w:rsidP="00934835">
            <w:pPr>
              <w:pStyle w:val="Texto"/>
              <w:ind w:left="703" w:hanging="360"/>
              <w:rPr>
                <w:rFonts w:ascii="Arial Narrow" w:hAnsi="Arial Narrow"/>
              </w:rPr>
            </w:pPr>
            <w:r w:rsidRPr="00992D26">
              <w:rPr>
                <w:rFonts w:ascii="Arial Narrow" w:hAnsi="Arial Narrow"/>
              </w:rPr>
              <w:t>●   Consolidar el turismo como un motor de la actividad económica.</w:t>
            </w:r>
          </w:p>
          <w:p w:rsidR="00B83815" w:rsidRPr="00992D26" w:rsidRDefault="00B83815" w:rsidP="00934835">
            <w:pPr>
              <w:pStyle w:val="Texto"/>
              <w:tabs>
                <w:tab w:val="left" w:pos="727"/>
                <w:tab w:val="left" w:pos="4003"/>
              </w:tabs>
              <w:ind w:left="343" w:firstLine="0"/>
              <w:rPr>
                <w:rFonts w:ascii="Arial Narrow" w:hAnsi="Arial Narrow"/>
              </w:rPr>
            </w:pPr>
            <w:r w:rsidRPr="00992D26">
              <w:rPr>
                <w:rFonts w:ascii="Arial Narrow" w:hAnsi="Arial Narrow"/>
              </w:rPr>
              <w:t>●   Elevar los ingresos de los trabajadores y las trabajadoras.</w:t>
            </w:r>
          </w:p>
        </w:tc>
      </w:tr>
    </w:tbl>
    <w:p w:rsidR="00B83815" w:rsidRPr="00992D26" w:rsidRDefault="00B83815" w:rsidP="00B83815">
      <w:pPr>
        <w:pStyle w:val="Sangradetextonormal"/>
        <w:ind w:left="540" w:firstLine="0"/>
        <w:jc w:val="left"/>
        <w:rPr>
          <w:rFonts w:ascii="Arial Narrow" w:hAnsi="Arial Narrow"/>
          <w:b/>
          <w:bCs/>
          <w:sz w:val="32"/>
          <w:szCs w:val="32"/>
        </w:rPr>
      </w:pPr>
    </w:p>
    <w:p w:rsidR="00B83815" w:rsidRPr="00992D26" w:rsidRDefault="00B83815" w:rsidP="00B83815">
      <w:pPr>
        <w:pStyle w:val="Sangradetextonormal"/>
        <w:ind w:left="540" w:firstLine="0"/>
        <w:jc w:val="left"/>
        <w:rPr>
          <w:rFonts w:ascii="Arial Narrow" w:hAnsi="Arial Narrow" w:cs="Arial"/>
          <w:bCs/>
          <w:sz w:val="16"/>
          <w:szCs w:val="16"/>
        </w:rPr>
      </w:pPr>
      <w:r w:rsidRPr="00992D26">
        <w:rPr>
          <w:rFonts w:ascii="Arial Narrow" w:hAnsi="Arial Narrow" w:cs="Arial"/>
          <w:b/>
          <w:bCs/>
          <w:sz w:val="16"/>
          <w:szCs w:val="16"/>
        </w:rPr>
        <w:t xml:space="preserve">Fuente: </w:t>
      </w:r>
      <w:r w:rsidRPr="00992D26">
        <w:rPr>
          <w:rFonts w:ascii="Arial Narrow" w:hAnsi="Arial Narrow" w:cs="Arial"/>
          <w:b/>
          <w:bCs/>
          <w:sz w:val="16"/>
          <w:szCs w:val="16"/>
        </w:rPr>
        <w:tab/>
      </w:r>
      <w:r w:rsidRPr="00992D26">
        <w:rPr>
          <w:rFonts w:ascii="Arial Narrow" w:hAnsi="Arial Narrow" w:cs="Arial"/>
          <w:bCs/>
          <w:sz w:val="16"/>
          <w:szCs w:val="16"/>
        </w:rPr>
        <w:t>Plan Estatal de Desarrollo de Nayarit 2011 - 2017</w:t>
      </w:r>
    </w:p>
    <w:p w:rsidR="00B83815" w:rsidRPr="00992D26" w:rsidRDefault="00B83815" w:rsidP="00B83815">
      <w:pPr>
        <w:pStyle w:val="Sangradetextonormal"/>
        <w:ind w:left="540" w:firstLine="0"/>
        <w:jc w:val="left"/>
        <w:rPr>
          <w:rFonts w:ascii="Arial Narrow" w:hAnsi="Arial Narrow" w:cs="Arial"/>
          <w:bCs/>
          <w:sz w:val="16"/>
          <w:szCs w:val="16"/>
        </w:rPr>
      </w:pPr>
      <w:r w:rsidRPr="00992D26">
        <w:rPr>
          <w:rFonts w:ascii="Arial Narrow" w:hAnsi="Arial Narrow"/>
          <w:b/>
          <w:bCs/>
          <w:sz w:val="32"/>
          <w:szCs w:val="32"/>
        </w:rPr>
        <w:tab/>
      </w:r>
      <w:r w:rsidRPr="00992D26">
        <w:rPr>
          <w:rFonts w:ascii="Arial Narrow" w:hAnsi="Arial Narrow"/>
          <w:b/>
          <w:bCs/>
          <w:sz w:val="32"/>
          <w:szCs w:val="32"/>
        </w:rPr>
        <w:tab/>
      </w:r>
      <w:r w:rsidRPr="00992D26">
        <w:rPr>
          <w:rFonts w:ascii="Arial Narrow" w:hAnsi="Arial Narrow" w:cs="Arial"/>
          <w:bCs/>
          <w:sz w:val="16"/>
          <w:szCs w:val="16"/>
        </w:rPr>
        <w:t>Paquete Fisca</w:t>
      </w:r>
      <w:r>
        <w:rPr>
          <w:rFonts w:ascii="Arial Narrow" w:hAnsi="Arial Narrow" w:cs="Arial"/>
          <w:bCs/>
          <w:sz w:val="16"/>
          <w:szCs w:val="16"/>
        </w:rPr>
        <w:t>l 2015</w:t>
      </w:r>
    </w:p>
    <w:p w:rsidR="00B83815" w:rsidRDefault="00B83815" w:rsidP="00B83815">
      <w:pPr>
        <w:pStyle w:val="Sangradetextonormal"/>
        <w:ind w:firstLine="0"/>
        <w:jc w:val="left"/>
        <w:rPr>
          <w:rFonts w:ascii="Arial Narrow" w:hAnsi="Arial Narrow"/>
          <w:b/>
          <w:bCs/>
          <w:sz w:val="32"/>
          <w:szCs w:val="32"/>
        </w:rPr>
      </w:pPr>
    </w:p>
    <w:p w:rsidR="00B83815" w:rsidRDefault="00B83815" w:rsidP="00B83815">
      <w:pPr>
        <w:pStyle w:val="Sangradetextonormal"/>
        <w:ind w:firstLine="0"/>
        <w:jc w:val="left"/>
        <w:rPr>
          <w:rFonts w:ascii="Arial Narrow" w:hAnsi="Arial Narrow"/>
          <w:b/>
          <w:bCs/>
          <w:sz w:val="32"/>
          <w:szCs w:val="32"/>
        </w:rPr>
      </w:pPr>
    </w:p>
    <w:p w:rsidR="00B83815" w:rsidRPr="00D6714B" w:rsidRDefault="00B83815" w:rsidP="00B83815">
      <w:pPr>
        <w:pStyle w:val="Sangradetextonormal"/>
        <w:ind w:firstLine="0"/>
        <w:jc w:val="left"/>
        <w:rPr>
          <w:rFonts w:ascii="Arial Narrow" w:hAnsi="Arial Narrow"/>
          <w:b/>
          <w:bCs/>
          <w:szCs w:val="28"/>
        </w:rPr>
      </w:pPr>
      <w:r w:rsidRPr="00D6714B">
        <w:rPr>
          <w:rFonts w:ascii="Arial Narrow" w:hAnsi="Arial Narrow"/>
          <w:b/>
          <w:bCs/>
          <w:szCs w:val="28"/>
        </w:rPr>
        <w:lastRenderedPageBreak/>
        <w:t>2.1.2.2.- Evolución de las Variables Económicas</w:t>
      </w:r>
    </w:p>
    <w:p w:rsidR="00B83815" w:rsidRPr="00992D26" w:rsidRDefault="00B83815" w:rsidP="00B83815">
      <w:pPr>
        <w:pStyle w:val="Sangradetextonormal"/>
        <w:spacing w:line="240" w:lineRule="auto"/>
        <w:ind w:firstLine="0"/>
        <w:jc w:val="left"/>
        <w:rPr>
          <w:rFonts w:ascii="Arial Narrow" w:hAnsi="Arial Narrow"/>
          <w:b/>
          <w:bCs/>
          <w:sz w:val="32"/>
          <w:szCs w:val="32"/>
        </w:rPr>
      </w:pPr>
    </w:p>
    <w:p w:rsidR="00B83815" w:rsidRPr="00D6714B" w:rsidRDefault="00B83815" w:rsidP="00B83815">
      <w:pPr>
        <w:pStyle w:val="Sangradetextonormal"/>
        <w:ind w:firstLine="0"/>
        <w:rPr>
          <w:rFonts w:ascii="Arial Narrow" w:hAnsi="Arial Narrow"/>
          <w:sz w:val="22"/>
          <w:szCs w:val="22"/>
        </w:rPr>
      </w:pPr>
      <w:r w:rsidRPr="00992D26">
        <w:rPr>
          <w:rFonts w:ascii="Arial Narrow" w:hAnsi="Arial Narrow"/>
          <w:b/>
          <w:bCs/>
          <w:sz w:val="32"/>
          <w:szCs w:val="32"/>
        </w:rPr>
        <w:tab/>
      </w:r>
      <w:r w:rsidRPr="00D6714B">
        <w:rPr>
          <w:rFonts w:ascii="Arial Narrow" w:hAnsi="Arial Narrow"/>
          <w:sz w:val="22"/>
          <w:szCs w:val="22"/>
        </w:rPr>
        <w:t>En los últimos años, los indicadores posicionan a Nayarit con una concentración de la riqueza en las regiones Centro y Costa Sur, derivado en buena medida por las actividades económicas del comercio y el turismo que se desarrollan en estas zonas.</w:t>
      </w:r>
      <w:r>
        <w:rPr>
          <w:rFonts w:ascii="Arial Narrow" w:hAnsi="Arial Narrow"/>
          <w:sz w:val="22"/>
          <w:szCs w:val="22"/>
        </w:rPr>
        <w:t xml:space="preserve"> </w:t>
      </w:r>
      <w:r w:rsidRPr="00D6714B">
        <w:rPr>
          <w:rFonts w:ascii="Arial Narrow" w:hAnsi="Arial Narrow"/>
          <w:sz w:val="22"/>
          <w:szCs w:val="22"/>
        </w:rPr>
        <w:t>El resto del Estado mantiene fundamentalmente una economía enfocada al sector primario en amplias tierras cultivables y la producción de ganado y productos del mar.</w:t>
      </w:r>
    </w:p>
    <w:p w:rsidR="00B83815" w:rsidRPr="00D6714B" w:rsidRDefault="00B83815" w:rsidP="00B83815">
      <w:pPr>
        <w:pStyle w:val="Sangradetextonormal"/>
        <w:ind w:firstLine="0"/>
        <w:rPr>
          <w:rFonts w:ascii="Arial Narrow" w:hAnsi="Arial Narrow"/>
          <w:sz w:val="22"/>
          <w:szCs w:val="22"/>
        </w:rPr>
      </w:pPr>
    </w:p>
    <w:p w:rsidR="00B83815" w:rsidRPr="00992D26" w:rsidRDefault="00B83815" w:rsidP="00B83815">
      <w:pPr>
        <w:pStyle w:val="Sangradetextonormal"/>
        <w:ind w:firstLine="0"/>
        <w:rPr>
          <w:rFonts w:ascii="Arial Narrow" w:hAnsi="Arial Narrow"/>
          <w:b/>
          <w:bCs/>
          <w:sz w:val="32"/>
          <w:szCs w:val="32"/>
        </w:rPr>
      </w:pPr>
      <w:r w:rsidRPr="00D6714B">
        <w:rPr>
          <w:rFonts w:ascii="Arial Narrow" w:hAnsi="Arial Narrow"/>
          <w:sz w:val="22"/>
          <w:szCs w:val="22"/>
        </w:rPr>
        <w:tab/>
        <w:t>En los siguientes apartados se describe el comportamiento de las principales variables económicas al interior del Estado.</w:t>
      </w:r>
    </w:p>
    <w:p w:rsidR="00B83815" w:rsidRDefault="00B83815" w:rsidP="00B83815">
      <w:pPr>
        <w:pStyle w:val="Sangradetextonormal"/>
        <w:spacing w:line="240" w:lineRule="auto"/>
        <w:ind w:firstLine="0"/>
        <w:jc w:val="left"/>
        <w:rPr>
          <w:rFonts w:ascii="Arial Narrow" w:hAnsi="Arial Narrow"/>
          <w:b/>
          <w:bCs/>
          <w:sz w:val="32"/>
          <w:szCs w:val="32"/>
        </w:rPr>
      </w:pPr>
    </w:p>
    <w:p w:rsidR="00B83815" w:rsidRPr="00D6714B" w:rsidRDefault="00B83815" w:rsidP="00B83815">
      <w:pPr>
        <w:pStyle w:val="Sangradetextonormal"/>
        <w:numPr>
          <w:ilvl w:val="0"/>
          <w:numId w:val="9"/>
        </w:numPr>
        <w:jc w:val="left"/>
        <w:rPr>
          <w:rFonts w:ascii="Arial Narrow" w:hAnsi="Arial Narrow"/>
          <w:b/>
          <w:bCs/>
          <w:szCs w:val="28"/>
        </w:rPr>
      </w:pPr>
      <w:r w:rsidRPr="00D6714B">
        <w:rPr>
          <w:rFonts w:ascii="Arial Narrow" w:hAnsi="Arial Narrow"/>
          <w:b/>
          <w:bCs/>
          <w:szCs w:val="28"/>
        </w:rPr>
        <w:t>Producto Interno Bruto (PIB)</w:t>
      </w:r>
    </w:p>
    <w:p w:rsidR="00B83815" w:rsidRPr="00992D26" w:rsidRDefault="00B83815" w:rsidP="00B83815">
      <w:pPr>
        <w:pStyle w:val="Sangradetextonormal"/>
        <w:ind w:left="708" w:firstLine="0"/>
        <w:jc w:val="left"/>
        <w:rPr>
          <w:rFonts w:ascii="Arial Narrow" w:hAnsi="Arial Narrow"/>
          <w:b/>
          <w:bCs/>
          <w:sz w:val="32"/>
          <w:szCs w:val="32"/>
        </w:rPr>
      </w:pPr>
    </w:p>
    <w:p w:rsidR="00B83815" w:rsidRPr="00D6714B" w:rsidRDefault="00B83815" w:rsidP="00B83815">
      <w:pPr>
        <w:pStyle w:val="Sangradetextonormal"/>
        <w:ind w:firstLine="720"/>
        <w:rPr>
          <w:rFonts w:ascii="Arial Narrow" w:hAnsi="Arial Narrow"/>
          <w:sz w:val="22"/>
          <w:szCs w:val="22"/>
        </w:rPr>
      </w:pPr>
      <w:bookmarkStart w:id="0" w:name="OLE_LINK1"/>
      <w:bookmarkStart w:id="1" w:name="OLE_LINK2"/>
      <w:bookmarkStart w:id="2" w:name="OLE_LINK3"/>
      <w:bookmarkStart w:id="3" w:name="OLE_LINK4"/>
      <w:r w:rsidRPr="00D6714B">
        <w:rPr>
          <w:rFonts w:ascii="Arial Narrow" w:hAnsi="Arial Narrow"/>
          <w:sz w:val="22"/>
          <w:szCs w:val="22"/>
        </w:rPr>
        <w:t>Con base en información difundida por el INEGI (Instituto Nacional de Estadística y Geografía) en su portal de internet, se refleja que en el Estado de Nayarit el Prod</w:t>
      </w:r>
      <w:r>
        <w:rPr>
          <w:rFonts w:ascii="Arial Narrow" w:hAnsi="Arial Narrow"/>
          <w:sz w:val="22"/>
          <w:szCs w:val="22"/>
        </w:rPr>
        <w:t>ucto Interno Bruto (PIB) de 2013</w:t>
      </w:r>
      <w:r w:rsidRPr="00D6714B">
        <w:rPr>
          <w:rFonts w:ascii="Arial Narrow" w:hAnsi="Arial Narrow"/>
          <w:sz w:val="22"/>
          <w:szCs w:val="22"/>
        </w:rPr>
        <w:t xml:space="preserve"> se situó en la cantidad de  </w:t>
      </w:r>
      <w:bookmarkEnd w:id="0"/>
      <w:bookmarkEnd w:id="1"/>
      <w:r>
        <w:rPr>
          <w:rFonts w:ascii="Arial Narrow" w:hAnsi="Arial Narrow"/>
          <w:sz w:val="22"/>
          <w:szCs w:val="22"/>
        </w:rPr>
        <w:t>84,254</w:t>
      </w:r>
      <w:r w:rsidRPr="00D6714B">
        <w:rPr>
          <w:rFonts w:ascii="Arial Narrow" w:hAnsi="Arial Narrow"/>
          <w:sz w:val="22"/>
          <w:szCs w:val="22"/>
        </w:rPr>
        <w:t xml:space="preserve"> mi</w:t>
      </w:r>
      <w:r>
        <w:rPr>
          <w:rFonts w:ascii="Arial Narrow" w:hAnsi="Arial Narrow"/>
          <w:sz w:val="22"/>
          <w:szCs w:val="22"/>
        </w:rPr>
        <w:t>llones de pesos, pasando en 2014 al monto de 87,777</w:t>
      </w:r>
      <w:r w:rsidRPr="00D6714B">
        <w:rPr>
          <w:rFonts w:ascii="Arial Narrow" w:hAnsi="Arial Narrow"/>
          <w:sz w:val="22"/>
          <w:szCs w:val="22"/>
        </w:rPr>
        <w:t xml:space="preserve"> millones de pesos, cifras que indican que la participación estatal en el PIB nacional de los años citados, se ubica en 0</w:t>
      </w:r>
      <w:r>
        <w:rPr>
          <w:rFonts w:ascii="Arial Narrow" w:hAnsi="Arial Narrow"/>
          <w:sz w:val="22"/>
          <w:szCs w:val="22"/>
        </w:rPr>
        <w:t>.64 y 0.66</w:t>
      </w:r>
      <w:r w:rsidRPr="00D6714B">
        <w:rPr>
          <w:rFonts w:ascii="Arial Narrow" w:hAnsi="Arial Narrow"/>
          <w:sz w:val="22"/>
          <w:szCs w:val="22"/>
        </w:rPr>
        <w:t xml:space="preserve"> por ciento, respectivamente</w:t>
      </w:r>
      <w:bookmarkEnd w:id="2"/>
      <w:bookmarkEnd w:id="3"/>
      <w:r w:rsidRPr="00D6714B">
        <w:rPr>
          <w:rFonts w:ascii="Arial Narrow" w:hAnsi="Arial Narrow"/>
          <w:sz w:val="22"/>
          <w:szCs w:val="22"/>
        </w:rPr>
        <w:t>.</w:t>
      </w:r>
    </w:p>
    <w:p w:rsidR="00B83815" w:rsidRPr="00D6714B" w:rsidRDefault="00B83815" w:rsidP="00B83815">
      <w:pPr>
        <w:pStyle w:val="Sangradetextonormal"/>
        <w:ind w:left="708" w:firstLine="0"/>
        <w:jc w:val="left"/>
        <w:rPr>
          <w:rFonts w:ascii="Arial Narrow" w:hAnsi="Arial Narrow"/>
          <w:b/>
          <w:bCs/>
          <w:sz w:val="22"/>
          <w:szCs w:val="22"/>
        </w:rPr>
      </w:pPr>
    </w:p>
    <w:p w:rsidR="00B83815" w:rsidRDefault="00B83815" w:rsidP="00B83815">
      <w:pPr>
        <w:pStyle w:val="Sangradetextonormal"/>
        <w:ind w:firstLine="720"/>
        <w:rPr>
          <w:rFonts w:ascii="Arial Narrow" w:hAnsi="Arial Narrow"/>
          <w:sz w:val="22"/>
          <w:szCs w:val="22"/>
        </w:rPr>
      </w:pPr>
      <w:r w:rsidRPr="00D6714B">
        <w:rPr>
          <w:rFonts w:ascii="Arial Narrow" w:hAnsi="Arial Narrow"/>
          <w:sz w:val="22"/>
          <w:szCs w:val="22"/>
        </w:rPr>
        <w:t>Los valores enunciados en el párrafo precedente corresponden a precios constantes de 2008, mismos que por actividad económica, se desglosan de la siguiente forma:</w:t>
      </w:r>
    </w:p>
    <w:p w:rsidR="00B83815" w:rsidRPr="00D6714B" w:rsidRDefault="00B83815" w:rsidP="00B83815">
      <w:pPr>
        <w:pStyle w:val="Sangradetextonormal"/>
        <w:ind w:firstLine="720"/>
        <w:rPr>
          <w:rFonts w:ascii="Arial Narrow" w:hAnsi="Arial Narrow"/>
          <w:sz w:val="22"/>
          <w:szCs w:val="22"/>
        </w:rPr>
      </w:pPr>
    </w:p>
    <w:p w:rsidR="00B83815" w:rsidRPr="00992D26" w:rsidRDefault="00303B1A" w:rsidP="00B83815">
      <w:pPr>
        <w:pStyle w:val="Sangradetextonormal"/>
        <w:ind w:firstLine="720"/>
        <w:rPr>
          <w:rFonts w:ascii="Arial Narrow" w:hAnsi="Arial Narrow"/>
          <w:sz w:val="25"/>
        </w:rPr>
      </w:pPr>
      <w:r>
        <w:rPr>
          <w:rFonts w:ascii="Arial Narrow" w:hAnsi="Arial Narrow"/>
          <w:noProof/>
        </w:rPr>
        <w:pict>
          <v:shape id="_x0000_s1026" type="#_x0000_t75" style="position:absolute;left:0;text-align:left;margin-left:2.25pt;margin-top:.9pt;width:443.55pt;height:107.1pt;z-index:251659264;mso-position-horizontal-relative:text;mso-position-vertical-relative:text">
            <v:imagedata r:id="rId12" o:title=""/>
          </v:shape>
          <o:OLEObject Type="Embed" ProgID="Excel.Sheet.12" ShapeID="_x0000_s1026" DrawAspect="Content" ObjectID="_1521633387" r:id="rId13"/>
        </w:pict>
      </w:r>
    </w:p>
    <w:p w:rsidR="00B83815" w:rsidRPr="00992D26" w:rsidRDefault="00B83815" w:rsidP="00B83815">
      <w:pPr>
        <w:pStyle w:val="Sangradetextonormal"/>
        <w:ind w:firstLine="720"/>
        <w:rPr>
          <w:rFonts w:ascii="Arial Narrow" w:hAnsi="Arial Narrow"/>
          <w:b/>
          <w:bCs/>
          <w:sz w:val="32"/>
          <w:szCs w:val="32"/>
        </w:rPr>
      </w:pPr>
    </w:p>
    <w:p w:rsidR="00B83815" w:rsidRPr="00992D26" w:rsidRDefault="00B83815" w:rsidP="00B83815">
      <w:pPr>
        <w:pStyle w:val="Sangradetextonormal"/>
        <w:ind w:firstLine="720"/>
        <w:rPr>
          <w:rFonts w:ascii="Arial Narrow" w:hAnsi="Arial Narrow"/>
          <w:b/>
          <w:bCs/>
          <w:sz w:val="32"/>
          <w:szCs w:val="32"/>
        </w:rPr>
      </w:pPr>
    </w:p>
    <w:p w:rsidR="00B83815" w:rsidRPr="00992D26" w:rsidRDefault="00B83815" w:rsidP="00B83815">
      <w:pPr>
        <w:pStyle w:val="Sangradetextonormal"/>
        <w:ind w:firstLine="720"/>
        <w:rPr>
          <w:rFonts w:ascii="Arial Narrow" w:hAnsi="Arial Narrow"/>
          <w:b/>
          <w:bCs/>
          <w:sz w:val="32"/>
          <w:szCs w:val="32"/>
        </w:rPr>
      </w:pPr>
    </w:p>
    <w:p w:rsidR="00B83815" w:rsidRPr="00992D26" w:rsidRDefault="00B83815" w:rsidP="00B83815">
      <w:pPr>
        <w:pStyle w:val="Sangradetextonormal"/>
        <w:ind w:firstLine="0"/>
        <w:rPr>
          <w:rFonts w:ascii="Arial Narrow" w:hAnsi="Arial Narrow"/>
          <w:bCs/>
          <w:sz w:val="18"/>
          <w:szCs w:val="18"/>
        </w:rPr>
      </w:pPr>
      <w:r w:rsidRPr="00992D26">
        <w:rPr>
          <w:rFonts w:ascii="Arial Narrow" w:hAnsi="Arial Narrow"/>
          <w:bCs/>
          <w:sz w:val="18"/>
          <w:szCs w:val="18"/>
        </w:rPr>
        <w:t xml:space="preserve">        </w:t>
      </w:r>
    </w:p>
    <w:p w:rsidR="00B83815" w:rsidRPr="00D6714B" w:rsidRDefault="00B83815" w:rsidP="00B83815">
      <w:pPr>
        <w:pStyle w:val="Sangradetextonormal"/>
        <w:ind w:firstLine="720"/>
        <w:rPr>
          <w:rFonts w:ascii="Arial Narrow" w:hAnsi="Arial Narrow"/>
          <w:sz w:val="22"/>
          <w:szCs w:val="22"/>
        </w:rPr>
      </w:pPr>
      <w:r w:rsidRPr="00D6714B">
        <w:rPr>
          <w:rFonts w:ascii="Arial Narrow" w:hAnsi="Arial Narrow"/>
          <w:sz w:val="22"/>
          <w:szCs w:val="22"/>
        </w:rPr>
        <w:lastRenderedPageBreak/>
        <w:t>De acuerdo con las cifras mostradas en el</w:t>
      </w:r>
      <w:r>
        <w:rPr>
          <w:rFonts w:ascii="Arial Narrow" w:hAnsi="Arial Narrow"/>
          <w:sz w:val="22"/>
          <w:szCs w:val="22"/>
        </w:rPr>
        <w:t xml:space="preserve"> cuadro anterior, en el año 2014</w:t>
      </w:r>
      <w:r w:rsidRPr="00D6714B">
        <w:rPr>
          <w:rFonts w:ascii="Arial Narrow" w:hAnsi="Arial Narrow"/>
          <w:sz w:val="22"/>
          <w:szCs w:val="22"/>
        </w:rPr>
        <w:t xml:space="preserve"> sobresalen las act</w:t>
      </w:r>
      <w:r>
        <w:rPr>
          <w:rFonts w:ascii="Arial Narrow" w:hAnsi="Arial Narrow"/>
          <w:sz w:val="22"/>
          <w:szCs w:val="22"/>
        </w:rPr>
        <w:t>ividades terciarias con un 71.48</w:t>
      </w:r>
      <w:r w:rsidRPr="00D6714B">
        <w:rPr>
          <w:rFonts w:ascii="Arial Narrow" w:hAnsi="Arial Narrow"/>
          <w:sz w:val="22"/>
          <w:szCs w:val="22"/>
        </w:rPr>
        <w:t>% del total reportado, destacando al interior de este rubro, por su mayor cuantía, el Comercio así como las Servicios inmobiliarios y de alquiler de bienes muebles e intangibles.</w:t>
      </w:r>
    </w:p>
    <w:p w:rsidR="00B83815" w:rsidRPr="00D6714B" w:rsidRDefault="00B83815" w:rsidP="00B83815">
      <w:pPr>
        <w:pStyle w:val="Sangradetextonormal"/>
        <w:ind w:firstLine="720"/>
        <w:rPr>
          <w:rFonts w:ascii="Arial Narrow" w:hAnsi="Arial Narrow"/>
          <w:sz w:val="22"/>
          <w:szCs w:val="22"/>
        </w:rPr>
      </w:pPr>
    </w:p>
    <w:p w:rsidR="00B83815" w:rsidRPr="00D6714B" w:rsidRDefault="00B83815" w:rsidP="00B83815">
      <w:pPr>
        <w:pStyle w:val="Sangradetextonormal"/>
        <w:ind w:firstLine="720"/>
        <w:rPr>
          <w:rFonts w:ascii="Arial Narrow" w:hAnsi="Arial Narrow"/>
          <w:sz w:val="22"/>
          <w:szCs w:val="22"/>
        </w:rPr>
      </w:pPr>
      <w:r w:rsidRPr="00D6714B">
        <w:rPr>
          <w:rFonts w:ascii="Arial Narrow" w:hAnsi="Arial Narrow"/>
          <w:sz w:val="22"/>
          <w:szCs w:val="22"/>
        </w:rPr>
        <w:t>En la siguiente gráfica se ilustra la evolución que ha tenido el PIB en el Estado de Nayarit</w:t>
      </w:r>
      <w:r>
        <w:rPr>
          <w:rFonts w:ascii="Arial Narrow" w:hAnsi="Arial Narrow"/>
          <w:sz w:val="22"/>
          <w:szCs w:val="22"/>
        </w:rPr>
        <w:t xml:space="preserve"> en los últimos cinco años (2010 a 2014</w:t>
      </w:r>
      <w:r w:rsidRPr="00D6714B">
        <w:rPr>
          <w:rFonts w:ascii="Arial Narrow" w:hAnsi="Arial Narrow"/>
          <w:sz w:val="22"/>
          <w:szCs w:val="22"/>
        </w:rPr>
        <w:t>) con valores considerados en millones de pesos a precios constantes de 2008:</w:t>
      </w:r>
    </w:p>
    <w:p w:rsidR="00B83815" w:rsidRPr="00992D26" w:rsidRDefault="00B83815" w:rsidP="00B83815">
      <w:pPr>
        <w:pStyle w:val="Sangradetextonormal"/>
        <w:ind w:firstLine="720"/>
        <w:rPr>
          <w:rFonts w:ascii="Arial Narrow" w:hAnsi="Arial Narrow"/>
          <w:b/>
          <w:bCs/>
          <w:sz w:val="32"/>
          <w:szCs w:val="32"/>
        </w:rPr>
      </w:pPr>
    </w:p>
    <w:p w:rsidR="00B83815" w:rsidRPr="00992D26" w:rsidRDefault="00B83815" w:rsidP="00B83815">
      <w:pPr>
        <w:pStyle w:val="Sangradetextonormal"/>
        <w:ind w:firstLine="720"/>
        <w:rPr>
          <w:rFonts w:ascii="Arial Narrow" w:hAnsi="Arial Narrow"/>
          <w:b/>
          <w:bCs/>
          <w:sz w:val="32"/>
          <w:szCs w:val="32"/>
        </w:rPr>
      </w:pPr>
    </w:p>
    <w:p w:rsidR="00B83815" w:rsidRPr="00992D26" w:rsidRDefault="00B83815" w:rsidP="00B83815">
      <w:pPr>
        <w:pStyle w:val="Sangradetextonormal"/>
        <w:ind w:firstLine="720"/>
        <w:rPr>
          <w:rFonts w:ascii="Arial Narrow" w:hAnsi="Arial Narrow"/>
          <w:b/>
          <w:bCs/>
          <w:sz w:val="32"/>
          <w:szCs w:val="32"/>
        </w:rPr>
      </w:pPr>
      <w:r>
        <w:rPr>
          <w:noProof/>
          <w:lang w:val="es-MX" w:eastAsia="es-MX"/>
        </w:rPr>
        <w:drawing>
          <wp:anchor distT="0" distB="0" distL="114300" distR="114300" simplePos="0" relativeHeight="251661312" behindDoc="0" locked="0" layoutInCell="1" allowOverlap="1" wp14:anchorId="7542E044" wp14:editId="21A27F39">
            <wp:simplePos x="0" y="0"/>
            <wp:positionH relativeFrom="column">
              <wp:posOffset>-69850</wp:posOffset>
            </wp:positionH>
            <wp:positionV relativeFrom="paragraph">
              <wp:posOffset>90170</wp:posOffset>
            </wp:positionV>
            <wp:extent cx="5734050" cy="3257550"/>
            <wp:effectExtent l="0" t="0" r="0" b="0"/>
            <wp:wrapNone/>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B83815" w:rsidRPr="00992D26" w:rsidRDefault="00B83815" w:rsidP="00B83815">
      <w:pPr>
        <w:pStyle w:val="Sangradetextonormal"/>
        <w:ind w:firstLine="720"/>
        <w:rPr>
          <w:rFonts w:ascii="Arial Narrow" w:hAnsi="Arial Narrow"/>
          <w:b/>
          <w:bCs/>
          <w:sz w:val="32"/>
          <w:szCs w:val="32"/>
        </w:rPr>
      </w:pPr>
    </w:p>
    <w:p w:rsidR="00B83815" w:rsidRPr="00992D26" w:rsidRDefault="00B83815" w:rsidP="00B83815">
      <w:pPr>
        <w:pStyle w:val="Sangradetextonormal"/>
        <w:ind w:firstLine="720"/>
        <w:rPr>
          <w:rFonts w:ascii="Arial Narrow" w:hAnsi="Arial Narrow"/>
          <w:b/>
          <w:bCs/>
          <w:sz w:val="32"/>
          <w:szCs w:val="32"/>
        </w:rPr>
      </w:pPr>
    </w:p>
    <w:p w:rsidR="00B83815" w:rsidRPr="00992D26" w:rsidRDefault="00B83815" w:rsidP="00B83815">
      <w:pPr>
        <w:pStyle w:val="Sangradetextonormal"/>
        <w:ind w:firstLine="720"/>
        <w:rPr>
          <w:rFonts w:ascii="Arial Narrow" w:hAnsi="Arial Narrow"/>
          <w:b/>
          <w:bCs/>
          <w:sz w:val="32"/>
          <w:szCs w:val="32"/>
        </w:rPr>
      </w:pPr>
    </w:p>
    <w:p w:rsidR="00B83815" w:rsidRPr="00992D26" w:rsidRDefault="00B83815" w:rsidP="00B83815">
      <w:pPr>
        <w:pStyle w:val="Sangradetextonormal"/>
        <w:ind w:firstLine="720"/>
        <w:rPr>
          <w:rFonts w:ascii="Arial Narrow" w:hAnsi="Arial Narrow"/>
          <w:b/>
          <w:bCs/>
          <w:sz w:val="32"/>
          <w:szCs w:val="32"/>
        </w:rPr>
      </w:pPr>
    </w:p>
    <w:p w:rsidR="00B83815" w:rsidRPr="00992D26" w:rsidRDefault="00B83815" w:rsidP="00B83815">
      <w:pPr>
        <w:pStyle w:val="Sangradetextonormal"/>
        <w:ind w:firstLine="720"/>
        <w:rPr>
          <w:rFonts w:ascii="Arial Narrow" w:hAnsi="Arial Narrow"/>
          <w:b/>
          <w:bCs/>
          <w:sz w:val="32"/>
          <w:szCs w:val="32"/>
        </w:rPr>
      </w:pPr>
    </w:p>
    <w:p w:rsidR="00B83815" w:rsidRDefault="00B83815" w:rsidP="00B83815">
      <w:pPr>
        <w:pStyle w:val="Sangradetextonormal"/>
        <w:ind w:firstLine="720"/>
        <w:rPr>
          <w:rFonts w:ascii="Arial Narrow" w:hAnsi="Arial Narrow"/>
          <w:b/>
          <w:bCs/>
          <w:sz w:val="32"/>
          <w:szCs w:val="32"/>
        </w:rPr>
      </w:pPr>
    </w:p>
    <w:p w:rsidR="00B83815" w:rsidRDefault="00B83815" w:rsidP="00B83815">
      <w:pPr>
        <w:pStyle w:val="Sangradetextonormal"/>
        <w:ind w:firstLine="720"/>
        <w:rPr>
          <w:rFonts w:ascii="Arial Narrow" w:hAnsi="Arial Narrow"/>
          <w:b/>
          <w:bCs/>
          <w:sz w:val="32"/>
          <w:szCs w:val="32"/>
        </w:rPr>
      </w:pPr>
    </w:p>
    <w:p w:rsidR="00B83815" w:rsidRDefault="00B83815" w:rsidP="00B83815">
      <w:pPr>
        <w:pStyle w:val="Sangradetextonormal"/>
        <w:ind w:firstLine="720"/>
        <w:rPr>
          <w:rFonts w:ascii="Arial Narrow" w:hAnsi="Arial Narrow"/>
          <w:b/>
          <w:bCs/>
          <w:sz w:val="32"/>
          <w:szCs w:val="32"/>
        </w:rPr>
      </w:pPr>
    </w:p>
    <w:p w:rsidR="00B83815" w:rsidRDefault="00B83815" w:rsidP="00B83815">
      <w:pPr>
        <w:pStyle w:val="Sangradetextonormal"/>
        <w:ind w:firstLine="720"/>
        <w:rPr>
          <w:rFonts w:ascii="Arial Narrow" w:hAnsi="Arial Narrow"/>
          <w:b/>
          <w:bCs/>
          <w:sz w:val="32"/>
          <w:szCs w:val="32"/>
        </w:rPr>
      </w:pPr>
    </w:p>
    <w:p w:rsidR="00B83815" w:rsidRPr="00352CE6" w:rsidRDefault="00B83815" w:rsidP="00B83815">
      <w:pPr>
        <w:pStyle w:val="Sangradetextonormal"/>
        <w:ind w:firstLine="720"/>
        <w:rPr>
          <w:rFonts w:ascii="Arial Narrow" w:hAnsi="Arial Narrow"/>
          <w:bCs/>
          <w:sz w:val="20"/>
        </w:rPr>
      </w:pPr>
      <w:r w:rsidRPr="00352CE6">
        <w:rPr>
          <w:rFonts w:ascii="Arial Narrow" w:hAnsi="Arial Narrow"/>
          <w:bCs/>
          <w:sz w:val="20"/>
        </w:rPr>
        <w:t>Fuente: INEGI</w:t>
      </w:r>
    </w:p>
    <w:p w:rsidR="00B83815" w:rsidRDefault="00B83815" w:rsidP="00B83815">
      <w:pPr>
        <w:pStyle w:val="Sangradetextonormal"/>
        <w:ind w:firstLine="720"/>
        <w:rPr>
          <w:rFonts w:ascii="Arial Narrow" w:hAnsi="Arial Narrow"/>
          <w:b/>
          <w:bCs/>
          <w:sz w:val="32"/>
          <w:szCs w:val="32"/>
        </w:rPr>
      </w:pPr>
    </w:p>
    <w:p w:rsidR="00B83815" w:rsidRDefault="00B83815" w:rsidP="00B83815">
      <w:pPr>
        <w:pStyle w:val="Sangradetextonormal"/>
        <w:spacing w:line="480" w:lineRule="auto"/>
        <w:ind w:firstLine="720"/>
        <w:rPr>
          <w:rFonts w:ascii="Arial Narrow" w:hAnsi="Arial Narrow"/>
          <w:b/>
          <w:bCs/>
          <w:sz w:val="32"/>
          <w:szCs w:val="32"/>
        </w:rPr>
      </w:pPr>
    </w:p>
    <w:p w:rsidR="00B83815" w:rsidRDefault="00B83815" w:rsidP="00B83815">
      <w:pPr>
        <w:pStyle w:val="Sangradetextonormal"/>
        <w:spacing w:line="480" w:lineRule="auto"/>
        <w:ind w:firstLine="720"/>
        <w:rPr>
          <w:rFonts w:ascii="Arial Narrow" w:hAnsi="Arial Narrow"/>
          <w:b/>
          <w:bCs/>
          <w:sz w:val="32"/>
          <w:szCs w:val="32"/>
        </w:rPr>
      </w:pPr>
    </w:p>
    <w:p w:rsidR="00B83815" w:rsidRPr="00E55E3E" w:rsidRDefault="00B83815" w:rsidP="00B83815">
      <w:pPr>
        <w:pStyle w:val="Sangradetextonormal"/>
        <w:numPr>
          <w:ilvl w:val="0"/>
          <w:numId w:val="9"/>
        </w:numPr>
        <w:jc w:val="left"/>
        <w:rPr>
          <w:rFonts w:ascii="Arial Narrow" w:hAnsi="Arial Narrow"/>
          <w:b/>
          <w:bCs/>
          <w:szCs w:val="28"/>
        </w:rPr>
      </w:pPr>
      <w:r w:rsidRPr="00E55E3E">
        <w:rPr>
          <w:rFonts w:ascii="Arial Narrow" w:hAnsi="Arial Narrow"/>
          <w:b/>
          <w:bCs/>
          <w:szCs w:val="28"/>
        </w:rPr>
        <w:lastRenderedPageBreak/>
        <w:t>Empleo</w:t>
      </w:r>
    </w:p>
    <w:p w:rsidR="00B83815" w:rsidRPr="00992D26" w:rsidRDefault="00B83815" w:rsidP="00B83815">
      <w:pPr>
        <w:pStyle w:val="Sangradetextonormal"/>
        <w:ind w:left="708" w:firstLine="0"/>
        <w:jc w:val="left"/>
        <w:rPr>
          <w:rFonts w:ascii="Arial Narrow" w:hAnsi="Arial Narrow"/>
          <w:b/>
          <w:bCs/>
          <w:sz w:val="32"/>
          <w:szCs w:val="32"/>
        </w:rPr>
      </w:pPr>
    </w:p>
    <w:p w:rsidR="00B83815" w:rsidRPr="00E55E3E" w:rsidRDefault="00B83815" w:rsidP="00B83815">
      <w:pPr>
        <w:pStyle w:val="Sangradetextonormal"/>
        <w:ind w:firstLine="720"/>
        <w:rPr>
          <w:rFonts w:ascii="Arial Narrow" w:hAnsi="Arial Narrow"/>
          <w:sz w:val="22"/>
          <w:szCs w:val="22"/>
        </w:rPr>
      </w:pPr>
      <w:r w:rsidRPr="00E55E3E">
        <w:rPr>
          <w:rFonts w:ascii="Arial Narrow" w:hAnsi="Arial Narrow"/>
          <w:sz w:val="22"/>
          <w:szCs w:val="22"/>
        </w:rPr>
        <w:t>Con base en datos provenientes de los Resultados de la Encuesta Nacional de Ocupación y Emple</w:t>
      </w:r>
      <w:r>
        <w:rPr>
          <w:rFonts w:ascii="Arial Narrow" w:hAnsi="Arial Narrow"/>
          <w:sz w:val="22"/>
          <w:szCs w:val="22"/>
        </w:rPr>
        <w:t>o (ENOE),  en el cuarto trimestre de 2015</w:t>
      </w:r>
      <w:r w:rsidRPr="00E55E3E">
        <w:rPr>
          <w:rFonts w:ascii="Arial Narrow" w:hAnsi="Arial Narrow"/>
          <w:sz w:val="22"/>
          <w:szCs w:val="22"/>
        </w:rPr>
        <w:t>, publicados por el Instituto Nacional de Estadística y Geografía (INEGI), en el estado de Nayarit la población de 15 años y más disponible para producir bienes y s</w:t>
      </w:r>
      <w:r>
        <w:rPr>
          <w:rFonts w:ascii="Arial Narrow" w:hAnsi="Arial Narrow"/>
          <w:sz w:val="22"/>
          <w:szCs w:val="22"/>
        </w:rPr>
        <w:t>ervicios en la entidad fue de 585.7 mil personas, 65.6</w:t>
      </w:r>
      <w:r w:rsidRPr="00E55E3E">
        <w:rPr>
          <w:rFonts w:ascii="Arial Narrow" w:hAnsi="Arial Narrow"/>
          <w:sz w:val="22"/>
          <w:szCs w:val="22"/>
        </w:rPr>
        <w:t>% del total, cuando un</w:t>
      </w:r>
      <w:r>
        <w:rPr>
          <w:rFonts w:ascii="Arial Narrow" w:hAnsi="Arial Narrow"/>
          <w:sz w:val="22"/>
          <w:szCs w:val="22"/>
        </w:rPr>
        <w:t xml:space="preserve"> año antes esta cifra fue de 555.3 mil (63.9</w:t>
      </w:r>
      <w:r w:rsidRPr="00E55E3E">
        <w:rPr>
          <w:rFonts w:ascii="Arial Narrow" w:hAnsi="Arial Narrow"/>
          <w:sz w:val="22"/>
          <w:szCs w:val="22"/>
        </w:rPr>
        <w:t xml:space="preserve">%). Mientras que 80 de cada 100 hombres en estas edades son económicamente activos, en el </w:t>
      </w:r>
      <w:r>
        <w:rPr>
          <w:rFonts w:ascii="Arial Narrow" w:hAnsi="Arial Narrow"/>
          <w:sz w:val="22"/>
          <w:szCs w:val="22"/>
        </w:rPr>
        <w:t>caso de las mujeres solamente 52</w:t>
      </w:r>
      <w:r w:rsidRPr="00E55E3E">
        <w:rPr>
          <w:rFonts w:ascii="Arial Narrow" w:hAnsi="Arial Narrow"/>
          <w:sz w:val="22"/>
          <w:szCs w:val="22"/>
        </w:rPr>
        <w:t xml:space="preserve"> de cada 100 están en esta situación.</w:t>
      </w:r>
    </w:p>
    <w:p w:rsidR="00B83815" w:rsidRPr="00E55E3E" w:rsidRDefault="00B83815" w:rsidP="00B83815">
      <w:pPr>
        <w:pStyle w:val="Sangradetextonormal"/>
        <w:ind w:firstLine="720"/>
        <w:rPr>
          <w:rFonts w:ascii="Arial Narrow" w:hAnsi="Arial Narrow"/>
          <w:sz w:val="22"/>
          <w:szCs w:val="22"/>
        </w:rPr>
      </w:pPr>
    </w:p>
    <w:p w:rsidR="00B83815" w:rsidRPr="00E55E3E" w:rsidRDefault="00B83815" w:rsidP="00B83815">
      <w:pPr>
        <w:pStyle w:val="Sangradetextonormal"/>
        <w:ind w:firstLine="720"/>
        <w:rPr>
          <w:rFonts w:ascii="Arial Narrow" w:hAnsi="Arial Narrow"/>
          <w:sz w:val="22"/>
          <w:szCs w:val="22"/>
        </w:rPr>
      </w:pPr>
      <w:r w:rsidRPr="00E55E3E">
        <w:rPr>
          <w:rFonts w:ascii="Arial Narrow" w:hAnsi="Arial Narrow"/>
          <w:sz w:val="22"/>
          <w:szCs w:val="22"/>
        </w:rPr>
        <w:t>Al considerar a la población ocupada con relación al sector económico en e</w:t>
      </w:r>
      <w:r>
        <w:rPr>
          <w:rFonts w:ascii="Arial Narrow" w:hAnsi="Arial Narrow"/>
          <w:sz w:val="22"/>
          <w:szCs w:val="22"/>
        </w:rPr>
        <w:t>l que labora, se observa que 121.2 mil personas (21</w:t>
      </w:r>
      <w:r w:rsidRPr="00E55E3E">
        <w:rPr>
          <w:rFonts w:ascii="Arial Narrow" w:hAnsi="Arial Narrow"/>
          <w:sz w:val="22"/>
          <w:szCs w:val="22"/>
        </w:rPr>
        <w:t>.7% del total) trabajan en el sector pr</w:t>
      </w:r>
      <w:r>
        <w:rPr>
          <w:rFonts w:ascii="Arial Narrow" w:hAnsi="Arial Narrow"/>
          <w:sz w:val="22"/>
          <w:szCs w:val="22"/>
        </w:rPr>
        <w:t>imario, 91.4 mil (16.3</w:t>
      </w:r>
      <w:r w:rsidRPr="00E55E3E">
        <w:rPr>
          <w:rFonts w:ascii="Arial Narrow" w:hAnsi="Arial Narrow"/>
          <w:sz w:val="22"/>
          <w:szCs w:val="22"/>
        </w:rPr>
        <w:t>%) en e</w:t>
      </w:r>
      <w:r>
        <w:rPr>
          <w:rFonts w:ascii="Arial Narrow" w:hAnsi="Arial Narrow"/>
          <w:sz w:val="22"/>
          <w:szCs w:val="22"/>
        </w:rPr>
        <w:t>l secundario o industrial, y 342.7 mil (61.3</w:t>
      </w:r>
      <w:r w:rsidRPr="00E55E3E">
        <w:rPr>
          <w:rFonts w:ascii="Arial Narrow" w:hAnsi="Arial Narrow"/>
          <w:sz w:val="22"/>
          <w:szCs w:val="22"/>
        </w:rPr>
        <w:t>%) están en el terciario o de los servicios. El restante 0.7% no especificó su actividad económica.</w:t>
      </w:r>
    </w:p>
    <w:p w:rsidR="00B83815" w:rsidRPr="00E55E3E" w:rsidRDefault="00B83815" w:rsidP="00B83815">
      <w:pPr>
        <w:pStyle w:val="Sangradetextonormal"/>
        <w:ind w:firstLine="720"/>
        <w:rPr>
          <w:rFonts w:ascii="Arial Narrow" w:hAnsi="Arial Narrow"/>
          <w:sz w:val="22"/>
          <w:szCs w:val="22"/>
        </w:rPr>
      </w:pPr>
    </w:p>
    <w:p w:rsidR="00B83815" w:rsidRPr="00E55E3E" w:rsidRDefault="00B83815" w:rsidP="00B83815">
      <w:pPr>
        <w:pStyle w:val="Sangradetextonormal"/>
        <w:ind w:firstLine="720"/>
        <w:rPr>
          <w:rFonts w:ascii="Arial Narrow" w:hAnsi="Arial Narrow"/>
          <w:sz w:val="22"/>
          <w:szCs w:val="22"/>
        </w:rPr>
      </w:pPr>
      <w:r>
        <w:rPr>
          <w:rFonts w:ascii="Arial Narrow" w:hAnsi="Arial Narrow"/>
          <w:sz w:val="22"/>
          <w:szCs w:val="22"/>
        </w:rPr>
        <w:t>En el cuarto trimestre de 2015</w:t>
      </w:r>
      <w:r w:rsidRPr="00E55E3E">
        <w:rPr>
          <w:rFonts w:ascii="Arial Narrow" w:hAnsi="Arial Narrow"/>
          <w:sz w:val="22"/>
          <w:szCs w:val="22"/>
        </w:rPr>
        <w:t>, la ocupación en el</w:t>
      </w:r>
      <w:r>
        <w:rPr>
          <w:rFonts w:ascii="Arial Narrow" w:hAnsi="Arial Narrow"/>
          <w:sz w:val="22"/>
          <w:szCs w:val="22"/>
        </w:rPr>
        <w:t xml:space="preserve"> sector primario aumentó 11.5 mil trabajadores, en el secundario 11.4</w:t>
      </w:r>
      <w:r w:rsidRPr="00E55E3E">
        <w:rPr>
          <w:rFonts w:ascii="Arial Narrow" w:hAnsi="Arial Narrow"/>
          <w:sz w:val="22"/>
          <w:szCs w:val="22"/>
        </w:rPr>
        <w:t xml:space="preserve"> </w:t>
      </w:r>
      <w:r>
        <w:rPr>
          <w:rFonts w:ascii="Arial Narrow" w:hAnsi="Arial Narrow"/>
          <w:sz w:val="22"/>
          <w:szCs w:val="22"/>
        </w:rPr>
        <w:t xml:space="preserve">mil y </w:t>
      </w:r>
      <w:r w:rsidRPr="00E55E3E">
        <w:rPr>
          <w:rFonts w:ascii="Arial Narrow" w:hAnsi="Arial Narrow"/>
          <w:sz w:val="22"/>
          <w:szCs w:val="22"/>
        </w:rPr>
        <w:t xml:space="preserve"> en el</w:t>
      </w:r>
      <w:r>
        <w:rPr>
          <w:rFonts w:ascii="Arial Narrow" w:hAnsi="Arial Narrow"/>
          <w:sz w:val="22"/>
          <w:szCs w:val="22"/>
        </w:rPr>
        <w:t xml:space="preserve"> sector terciario 5.5</w:t>
      </w:r>
      <w:r w:rsidRPr="00E55E3E">
        <w:rPr>
          <w:rFonts w:ascii="Arial Narrow" w:hAnsi="Arial Narrow"/>
          <w:sz w:val="22"/>
          <w:szCs w:val="22"/>
        </w:rPr>
        <w:t xml:space="preserve"> mil empleados, en el mismo periodo.</w:t>
      </w:r>
    </w:p>
    <w:p w:rsidR="00B83815" w:rsidRPr="00E55E3E" w:rsidRDefault="00B83815" w:rsidP="00B83815">
      <w:pPr>
        <w:pStyle w:val="Sangradetextonormal"/>
        <w:ind w:firstLine="720"/>
        <w:rPr>
          <w:rFonts w:ascii="Arial Narrow" w:hAnsi="Arial Narrow"/>
          <w:sz w:val="22"/>
          <w:szCs w:val="22"/>
        </w:rPr>
      </w:pPr>
    </w:p>
    <w:p w:rsidR="00B83815" w:rsidRPr="00E55E3E" w:rsidRDefault="00B83815" w:rsidP="00B83815">
      <w:pPr>
        <w:pStyle w:val="Sangradetextonormal"/>
        <w:ind w:firstLine="720"/>
        <w:rPr>
          <w:rFonts w:ascii="Arial Narrow" w:hAnsi="Arial Narrow"/>
          <w:sz w:val="22"/>
          <w:szCs w:val="22"/>
        </w:rPr>
      </w:pPr>
      <w:r w:rsidRPr="00E55E3E">
        <w:rPr>
          <w:rFonts w:ascii="Arial Narrow" w:hAnsi="Arial Narrow"/>
          <w:sz w:val="22"/>
          <w:szCs w:val="22"/>
        </w:rPr>
        <w:t>Otro enfoque desde el cual puede caracterizarse a la población ocupada es el que se refiere al tamaño de unidad económica en la que labora. En función de ello, si sólo se toma en cuenta al ámbito n</w:t>
      </w:r>
      <w:r>
        <w:rPr>
          <w:rFonts w:ascii="Arial Narrow" w:hAnsi="Arial Narrow"/>
          <w:sz w:val="22"/>
          <w:szCs w:val="22"/>
        </w:rPr>
        <w:t>o agropecuario (que abarca al 77.6</w:t>
      </w:r>
      <w:r w:rsidRPr="00E55E3E">
        <w:rPr>
          <w:rFonts w:ascii="Arial Narrow" w:hAnsi="Arial Narrow"/>
          <w:sz w:val="22"/>
          <w:szCs w:val="22"/>
        </w:rPr>
        <w:t xml:space="preserve">% de la población ocupada), </w:t>
      </w:r>
      <w:r>
        <w:rPr>
          <w:rFonts w:ascii="Arial Narrow" w:hAnsi="Arial Narrow"/>
          <w:sz w:val="22"/>
          <w:szCs w:val="22"/>
        </w:rPr>
        <w:t>al cuarto trimestre de 2015</w:t>
      </w:r>
      <w:r w:rsidRPr="00E55E3E">
        <w:rPr>
          <w:rFonts w:ascii="Arial Narrow" w:hAnsi="Arial Narrow"/>
          <w:sz w:val="22"/>
          <w:szCs w:val="22"/>
        </w:rPr>
        <w:t>, los trabajadores se distribuyen en las siguientes unidades económicas:</w:t>
      </w:r>
    </w:p>
    <w:p w:rsidR="00B83815" w:rsidRPr="00E55E3E" w:rsidRDefault="00B83815" w:rsidP="00B83815">
      <w:pPr>
        <w:pStyle w:val="Sangradetextonormal"/>
        <w:spacing w:line="240" w:lineRule="auto"/>
        <w:ind w:firstLine="720"/>
        <w:rPr>
          <w:rFonts w:ascii="Arial Narrow" w:hAnsi="Arial Narrow"/>
          <w:sz w:val="22"/>
          <w:szCs w:val="22"/>
        </w:rPr>
      </w:pPr>
    </w:p>
    <w:p w:rsidR="00B83815" w:rsidRPr="00E55E3E" w:rsidRDefault="00B83815" w:rsidP="00B83815">
      <w:pPr>
        <w:pStyle w:val="Sangradetextonormal"/>
        <w:ind w:left="697" w:firstLine="720"/>
        <w:rPr>
          <w:rFonts w:ascii="Arial Narrow" w:hAnsi="Arial Narrow"/>
          <w:sz w:val="22"/>
          <w:szCs w:val="22"/>
        </w:rPr>
      </w:pPr>
      <w:proofErr w:type="spellStart"/>
      <w:r w:rsidRPr="00E55E3E">
        <w:rPr>
          <w:rFonts w:ascii="Arial Narrow" w:hAnsi="Arial Narrow"/>
          <w:sz w:val="22"/>
          <w:szCs w:val="22"/>
        </w:rPr>
        <w:t>Micronegocios</w:t>
      </w:r>
      <w:proofErr w:type="spellEnd"/>
      <w:r w:rsidRPr="00E55E3E">
        <w:rPr>
          <w:rFonts w:ascii="Arial Narrow" w:hAnsi="Arial Narrow"/>
          <w:sz w:val="22"/>
          <w:szCs w:val="22"/>
        </w:rPr>
        <w:tab/>
      </w:r>
      <w:r w:rsidRPr="00E55E3E">
        <w:rPr>
          <w:rFonts w:ascii="Arial Narrow" w:hAnsi="Arial Narrow"/>
          <w:sz w:val="22"/>
          <w:szCs w:val="22"/>
        </w:rPr>
        <w:tab/>
        <w:t xml:space="preserve">          </w:t>
      </w:r>
      <w:r>
        <w:rPr>
          <w:rFonts w:ascii="Arial Narrow" w:hAnsi="Arial Narrow"/>
          <w:sz w:val="22"/>
          <w:szCs w:val="22"/>
        </w:rPr>
        <w:t xml:space="preserve">   227.8</w:t>
      </w:r>
      <w:r w:rsidRPr="00E55E3E">
        <w:rPr>
          <w:rFonts w:ascii="Arial Narrow" w:hAnsi="Arial Narrow"/>
          <w:sz w:val="22"/>
          <w:szCs w:val="22"/>
        </w:rPr>
        <w:t xml:space="preserve"> mil </w:t>
      </w:r>
      <w:r w:rsidRPr="00E55E3E">
        <w:rPr>
          <w:rFonts w:ascii="Arial Narrow" w:hAnsi="Arial Narrow"/>
          <w:sz w:val="22"/>
          <w:szCs w:val="22"/>
        </w:rPr>
        <w:tab/>
      </w:r>
      <w:r>
        <w:rPr>
          <w:rFonts w:ascii="Arial Narrow" w:hAnsi="Arial Narrow"/>
          <w:sz w:val="22"/>
          <w:szCs w:val="22"/>
        </w:rPr>
        <w:t>52.5</w:t>
      </w:r>
      <w:r w:rsidRPr="00E55E3E">
        <w:rPr>
          <w:rFonts w:ascii="Arial Narrow" w:hAnsi="Arial Narrow"/>
          <w:sz w:val="22"/>
          <w:szCs w:val="22"/>
        </w:rPr>
        <w:t>%</w:t>
      </w:r>
    </w:p>
    <w:p w:rsidR="00B83815" w:rsidRPr="00E55E3E" w:rsidRDefault="00B83815" w:rsidP="00B83815">
      <w:pPr>
        <w:pStyle w:val="Sangradetextonormal"/>
        <w:ind w:left="696" w:firstLine="720"/>
        <w:rPr>
          <w:rFonts w:ascii="Arial Narrow" w:hAnsi="Arial Narrow"/>
          <w:sz w:val="22"/>
          <w:szCs w:val="22"/>
        </w:rPr>
      </w:pPr>
      <w:r w:rsidRPr="00E55E3E">
        <w:rPr>
          <w:rFonts w:ascii="Arial Narrow" w:hAnsi="Arial Narrow"/>
          <w:sz w:val="22"/>
          <w:szCs w:val="22"/>
        </w:rPr>
        <w:t xml:space="preserve">Establecimientos </w:t>
      </w:r>
      <w:r>
        <w:rPr>
          <w:rFonts w:ascii="Arial Narrow" w:hAnsi="Arial Narrow"/>
          <w:sz w:val="22"/>
          <w:szCs w:val="22"/>
        </w:rPr>
        <w:t>pequeños</w:t>
      </w:r>
      <w:r>
        <w:rPr>
          <w:rFonts w:ascii="Arial Narrow" w:hAnsi="Arial Narrow"/>
          <w:sz w:val="22"/>
          <w:szCs w:val="22"/>
        </w:rPr>
        <w:tab/>
        <w:t>78.8 mil</w:t>
      </w:r>
      <w:r>
        <w:rPr>
          <w:rFonts w:ascii="Arial Narrow" w:hAnsi="Arial Narrow"/>
          <w:sz w:val="22"/>
          <w:szCs w:val="22"/>
        </w:rPr>
        <w:tab/>
      </w:r>
      <w:r>
        <w:rPr>
          <w:rFonts w:ascii="Arial Narrow" w:hAnsi="Arial Narrow"/>
          <w:sz w:val="22"/>
          <w:szCs w:val="22"/>
        </w:rPr>
        <w:tab/>
        <w:t>18.2</w:t>
      </w:r>
      <w:r w:rsidRPr="00E55E3E">
        <w:rPr>
          <w:rFonts w:ascii="Arial Narrow" w:hAnsi="Arial Narrow"/>
          <w:sz w:val="22"/>
          <w:szCs w:val="22"/>
        </w:rPr>
        <w:t>%</w:t>
      </w:r>
    </w:p>
    <w:p w:rsidR="00B83815" w:rsidRPr="00E55E3E" w:rsidRDefault="00B83815" w:rsidP="00B83815">
      <w:pPr>
        <w:pStyle w:val="Sangradetextonormal"/>
        <w:ind w:left="697" w:firstLine="720"/>
        <w:rPr>
          <w:rFonts w:ascii="Arial Narrow" w:hAnsi="Arial Narrow"/>
          <w:sz w:val="22"/>
          <w:szCs w:val="22"/>
        </w:rPr>
      </w:pPr>
      <w:r>
        <w:rPr>
          <w:rFonts w:ascii="Arial Narrow" w:hAnsi="Arial Narrow"/>
          <w:sz w:val="22"/>
          <w:szCs w:val="22"/>
        </w:rPr>
        <w:t>Establecimientos medianos</w:t>
      </w:r>
      <w:r>
        <w:rPr>
          <w:rFonts w:ascii="Arial Narrow" w:hAnsi="Arial Narrow"/>
          <w:sz w:val="22"/>
          <w:szCs w:val="22"/>
        </w:rPr>
        <w:tab/>
        <w:t>35.6</w:t>
      </w:r>
      <w:r w:rsidRPr="00E55E3E">
        <w:rPr>
          <w:rFonts w:ascii="Arial Narrow" w:hAnsi="Arial Narrow"/>
          <w:sz w:val="22"/>
          <w:szCs w:val="22"/>
        </w:rPr>
        <w:t xml:space="preserve"> mil</w:t>
      </w:r>
      <w:r w:rsidRPr="00E55E3E">
        <w:rPr>
          <w:rFonts w:ascii="Arial Narrow" w:hAnsi="Arial Narrow"/>
          <w:sz w:val="22"/>
          <w:szCs w:val="22"/>
        </w:rPr>
        <w:tab/>
      </w:r>
      <w:r w:rsidRPr="00E55E3E">
        <w:rPr>
          <w:rFonts w:ascii="Arial Narrow" w:hAnsi="Arial Narrow"/>
          <w:sz w:val="22"/>
          <w:szCs w:val="22"/>
        </w:rPr>
        <w:tab/>
        <w:t xml:space="preserve">  8.2%</w:t>
      </w:r>
    </w:p>
    <w:p w:rsidR="00B83815" w:rsidRPr="00E55E3E" w:rsidRDefault="00B83815" w:rsidP="00B83815">
      <w:pPr>
        <w:pStyle w:val="Sangradetextonormal"/>
        <w:ind w:left="697" w:firstLine="720"/>
        <w:rPr>
          <w:rFonts w:ascii="Arial Narrow" w:hAnsi="Arial Narrow"/>
          <w:sz w:val="22"/>
          <w:szCs w:val="22"/>
        </w:rPr>
      </w:pPr>
      <w:r w:rsidRPr="00E55E3E">
        <w:rPr>
          <w:rFonts w:ascii="Arial Narrow" w:hAnsi="Arial Narrow"/>
          <w:sz w:val="22"/>
          <w:szCs w:val="22"/>
        </w:rPr>
        <w:t>Establecimientos grandes</w:t>
      </w:r>
      <w:r w:rsidRPr="00E55E3E">
        <w:rPr>
          <w:rFonts w:ascii="Arial Narrow" w:hAnsi="Arial Narrow"/>
          <w:sz w:val="22"/>
          <w:szCs w:val="22"/>
        </w:rPr>
        <w:tab/>
      </w:r>
      <w:r>
        <w:rPr>
          <w:rFonts w:ascii="Arial Narrow" w:hAnsi="Arial Narrow"/>
          <w:sz w:val="22"/>
          <w:szCs w:val="22"/>
        </w:rPr>
        <w:tab/>
        <w:t>32.9</w:t>
      </w:r>
      <w:r w:rsidRPr="00E55E3E">
        <w:rPr>
          <w:rFonts w:ascii="Arial Narrow" w:hAnsi="Arial Narrow"/>
          <w:sz w:val="22"/>
          <w:szCs w:val="22"/>
        </w:rPr>
        <w:t xml:space="preserve"> mil</w:t>
      </w:r>
      <w:r w:rsidRPr="00E55E3E">
        <w:rPr>
          <w:rFonts w:ascii="Arial Narrow" w:hAnsi="Arial Narrow"/>
          <w:sz w:val="22"/>
          <w:szCs w:val="22"/>
        </w:rPr>
        <w:tab/>
      </w:r>
      <w:r w:rsidRPr="00E55E3E">
        <w:rPr>
          <w:rFonts w:ascii="Arial Narrow" w:hAnsi="Arial Narrow"/>
          <w:sz w:val="22"/>
          <w:szCs w:val="22"/>
        </w:rPr>
        <w:tab/>
        <w:t xml:space="preserve">  </w:t>
      </w:r>
      <w:r>
        <w:rPr>
          <w:rFonts w:ascii="Arial Narrow" w:hAnsi="Arial Narrow"/>
          <w:sz w:val="22"/>
          <w:szCs w:val="22"/>
        </w:rPr>
        <w:t>7.6</w:t>
      </w:r>
      <w:r w:rsidRPr="00E55E3E">
        <w:rPr>
          <w:rFonts w:ascii="Arial Narrow" w:hAnsi="Arial Narrow"/>
          <w:sz w:val="22"/>
          <w:szCs w:val="22"/>
        </w:rPr>
        <w:t>%</w:t>
      </w:r>
    </w:p>
    <w:p w:rsidR="00B83815" w:rsidRPr="00E55E3E" w:rsidRDefault="00B83815" w:rsidP="00B83815">
      <w:pPr>
        <w:pStyle w:val="Sangradetextonormal"/>
        <w:ind w:left="697" w:firstLine="720"/>
        <w:rPr>
          <w:rFonts w:ascii="Arial Narrow" w:hAnsi="Arial Narrow"/>
          <w:sz w:val="22"/>
          <w:szCs w:val="22"/>
        </w:rPr>
      </w:pPr>
      <w:r w:rsidRPr="00E55E3E">
        <w:rPr>
          <w:rFonts w:ascii="Arial Narrow" w:hAnsi="Arial Narrow"/>
          <w:sz w:val="22"/>
          <w:szCs w:val="22"/>
        </w:rPr>
        <w:t>Otro tipo</w:t>
      </w:r>
      <w:r w:rsidRPr="00E55E3E">
        <w:rPr>
          <w:rFonts w:ascii="Arial Narrow" w:hAnsi="Arial Narrow"/>
          <w:sz w:val="22"/>
          <w:szCs w:val="22"/>
        </w:rPr>
        <w:tab/>
      </w:r>
      <w:r w:rsidRPr="00E55E3E">
        <w:rPr>
          <w:rFonts w:ascii="Arial Narrow" w:hAnsi="Arial Narrow"/>
          <w:sz w:val="22"/>
          <w:szCs w:val="22"/>
        </w:rPr>
        <w:tab/>
      </w:r>
      <w:r w:rsidRPr="00E55E3E">
        <w:rPr>
          <w:rFonts w:ascii="Arial Narrow" w:hAnsi="Arial Narrow"/>
          <w:sz w:val="22"/>
          <w:szCs w:val="22"/>
        </w:rPr>
        <w:tab/>
      </w:r>
      <w:r>
        <w:rPr>
          <w:rFonts w:ascii="Arial Narrow" w:hAnsi="Arial Narrow"/>
          <w:sz w:val="22"/>
          <w:szCs w:val="22"/>
        </w:rPr>
        <w:tab/>
        <w:t>58.7 mil</w:t>
      </w:r>
      <w:r>
        <w:rPr>
          <w:rFonts w:ascii="Arial Narrow" w:hAnsi="Arial Narrow"/>
          <w:sz w:val="22"/>
          <w:szCs w:val="22"/>
        </w:rPr>
        <w:tab/>
      </w:r>
      <w:r>
        <w:rPr>
          <w:rFonts w:ascii="Arial Narrow" w:hAnsi="Arial Narrow"/>
          <w:sz w:val="22"/>
          <w:szCs w:val="22"/>
        </w:rPr>
        <w:tab/>
        <w:t>13.5</w:t>
      </w:r>
      <w:r w:rsidRPr="00E55E3E">
        <w:rPr>
          <w:rFonts w:ascii="Arial Narrow" w:hAnsi="Arial Narrow"/>
          <w:sz w:val="22"/>
          <w:szCs w:val="22"/>
        </w:rPr>
        <w:t xml:space="preserve"> %</w:t>
      </w:r>
    </w:p>
    <w:p w:rsidR="00B83815" w:rsidRPr="00E55E3E" w:rsidRDefault="00B83815" w:rsidP="00B83815">
      <w:pPr>
        <w:pStyle w:val="Sangradetextonormal"/>
        <w:ind w:firstLine="720"/>
        <w:rPr>
          <w:rFonts w:ascii="Arial Narrow" w:hAnsi="Arial Narrow"/>
          <w:sz w:val="22"/>
          <w:szCs w:val="22"/>
        </w:rPr>
      </w:pPr>
    </w:p>
    <w:p w:rsidR="00B83815" w:rsidRPr="00E55E3E" w:rsidRDefault="00B83815" w:rsidP="00B83815">
      <w:pPr>
        <w:pStyle w:val="Sangradetextonormal"/>
        <w:ind w:firstLine="720"/>
        <w:rPr>
          <w:rFonts w:ascii="Arial Narrow" w:hAnsi="Arial Narrow"/>
          <w:sz w:val="22"/>
          <w:szCs w:val="22"/>
        </w:rPr>
      </w:pPr>
      <w:r w:rsidRPr="00E55E3E">
        <w:rPr>
          <w:rFonts w:ascii="Arial Narrow" w:hAnsi="Arial Narrow"/>
          <w:sz w:val="22"/>
          <w:szCs w:val="22"/>
        </w:rPr>
        <w:lastRenderedPageBreak/>
        <w:t>De acuerdo con información arrojada por la encuesta,</w:t>
      </w:r>
      <w:r>
        <w:rPr>
          <w:rFonts w:ascii="Arial Narrow" w:hAnsi="Arial Narrow"/>
          <w:sz w:val="22"/>
          <w:szCs w:val="22"/>
        </w:rPr>
        <w:t xml:space="preserve"> el 49.1</w:t>
      </w:r>
      <w:r w:rsidRPr="00E55E3E">
        <w:rPr>
          <w:rFonts w:ascii="Arial Narrow" w:hAnsi="Arial Narrow"/>
          <w:sz w:val="22"/>
          <w:szCs w:val="22"/>
        </w:rPr>
        <w:t>% de los trabajadores subordinados y remunerados tienen acceso a instituciones de salud com</w:t>
      </w:r>
      <w:r>
        <w:rPr>
          <w:rFonts w:ascii="Arial Narrow" w:hAnsi="Arial Narrow"/>
          <w:sz w:val="22"/>
          <w:szCs w:val="22"/>
        </w:rPr>
        <w:t>o prestación por su trabajo y 49.9</w:t>
      </w:r>
      <w:r w:rsidRPr="00E55E3E">
        <w:rPr>
          <w:rFonts w:ascii="Arial Narrow" w:hAnsi="Arial Narrow"/>
          <w:sz w:val="22"/>
          <w:szCs w:val="22"/>
        </w:rPr>
        <w:t>% no cuentan con este apoyo. A su vez, 46.6% disponen de un contrato por escrito y 53.0% no cuentan con el mismo.</w:t>
      </w:r>
    </w:p>
    <w:p w:rsidR="00B83815" w:rsidRPr="00992D26" w:rsidRDefault="00B83815" w:rsidP="00B83815">
      <w:pPr>
        <w:pStyle w:val="Sangradetextonormal"/>
        <w:ind w:firstLine="720"/>
        <w:rPr>
          <w:rFonts w:ascii="Arial Narrow" w:hAnsi="Arial Narrow"/>
          <w:sz w:val="25"/>
        </w:rPr>
      </w:pPr>
      <w:r w:rsidRPr="00992D26">
        <w:rPr>
          <w:rFonts w:ascii="Arial Narrow" w:hAnsi="Arial Narrow"/>
          <w:sz w:val="25"/>
        </w:rPr>
        <w:t xml:space="preserve"> </w:t>
      </w:r>
    </w:p>
    <w:p w:rsidR="00B83815" w:rsidRPr="00E55E3E" w:rsidRDefault="00B83815" w:rsidP="00B83815">
      <w:pPr>
        <w:pStyle w:val="Sangradetextonormal"/>
        <w:ind w:firstLine="720"/>
        <w:rPr>
          <w:rFonts w:ascii="Arial Narrow" w:hAnsi="Arial Narrow"/>
          <w:sz w:val="22"/>
          <w:szCs w:val="22"/>
        </w:rPr>
      </w:pPr>
      <w:r w:rsidRPr="00E55E3E">
        <w:rPr>
          <w:rFonts w:ascii="Arial Narrow" w:hAnsi="Arial Narrow"/>
          <w:sz w:val="22"/>
          <w:szCs w:val="22"/>
        </w:rPr>
        <w:t>Por otra parte y con base en información publicada por la Secretaría del Trabajo y Previsión Social en su portal oficial de inte</w:t>
      </w:r>
      <w:r>
        <w:rPr>
          <w:rFonts w:ascii="Arial Narrow" w:hAnsi="Arial Narrow"/>
          <w:sz w:val="22"/>
          <w:szCs w:val="22"/>
        </w:rPr>
        <w:t>rnet, al 31 de Diciembre de 2015</w:t>
      </w:r>
      <w:r w:rsidRPr="00E55E3E">
        <w:rPr>
          <w:rFonts w:ascii="Arial Narrow" w:hAnsi="Arial Narrow"/>
          <w:sz w:val="22"/>
          <w:szCs w:val="22"/>
        </w:rPr>
        <w:t xml:space="preserve"> el número de trabajadores asegurados en el IMSS (Instituto Mexicano del Seguro Social) correspondiente al Estado de Nayari</w:t>
      </w:r>
      <w:r>
        <w:rPr>
          <w:rFonts w:ascii="Arial Narrow" w:hAnsi="Arial Narrow"/>
          <w:sz w:val="22"/>
          <w:szCs w:val="22"/>
        </w:rPr>
        <w:t>t fue de 130,439</w:t>
      </w:r>
      <w:r w:rsidRPr="00E55E3E">
        <w:rPr>
          <w:rFonts w:ascii="Arial Narrow" w:hAnsi="Arial Narrow"/>
          <w:sz w:val="22"/>
          <w:szCs w:val="22"/>
        </w:rPr>
        <w:t>, teniendo durante este año el comportamiento que se aprecia en la gráfica siguiente:</w:t>
      </w:r>
    </w:p>
    <w:p w:rsidR="00B83815" w:rsidRDefault="00B83815" w:rsidP="00B83815">
      <w:pPr>
        <w:pStyle w:val="Sangradetextonormal"/>
        <w:ind w:firstLine="720"/>
        <w:rPr>
          <w:rFonts w:ascii="Arial Narrow" w:hAnsi="Arial Narrow"/>
          <w:sz w:val="25"/>
        </w:rPr>
      </w:pPr>
    </w:p>
    <w:p w:rsidR="00B83815" w:rsidRPr="00992D26" w:rsidRDefault="00B83815" w:rsidP="00B83815">
      <w:pPr>
        <w:pStyle w:val="Sangradetextonormal"/>
        <w:ind w:firstLine="720"/>
        <w:rPr>
          <w:rFonts w:ascii="Arial Narrow" w:hAnsi="Arial Narrow"/>
          <w:sz w:val="25"/>
        </w:rPr>
      </w:pPr>
    </w:p>
    <w:p w:rsidR="00B83815" w:rsidRPr="00992D26" w:rsidRDefault="00B83815" w:rsidP="00B83815">
      <w:pPr>
        <w:pStyle w:val="Sangradetextonormal"/>
        <w:ind w:firstLine="720"/>
        <w:rPr>
          <w:rFonts w:ascii="Arial Narrow" w:hAnsi="Arial Narrow"/>
          <w:sz w:val="25"/>
        </w:rPr>
      </w:pPr>
      <w:r>
        <w:rPr>
          <w:noProof/>
          <w:lang w:val="es-MX" w:eastAsia="es-MX"/>
        </w:rPr>
        <w:drawing>
          <wp:anchor distT="0" distB="0" distL="114300" distR="114300" simplePos="0" relativeHeight="251660288" behindDoc="0" locked="0" layoutInCell="1" allowOverlap="1" wp14:anchorId="71F7848C" wp14:editId="3FA4DCB4">
            <wp:simplePos x="0" y="0"/>
            <wp:positionH relativeFrom="column">
              <wp:posOffset>149225</wp:posOffset>
            </wp:positionH>
            <wp:positionV relativeFrom="paragraph">
              <wp:posOffset>34290</wp:posOffset>
            </wp:positionV>
            <wp:extent cx="5457825" cy="3086100"/>
            <wp:effectExtent l="19050" t="19050" r="9525" b="19050"/>
            <wp:wrapNone/>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B83815" w:rsidRPr="00992D26" w:rsidRDefault="00B83815" w:rsidP="00B83815">
      <w:pPr>
        <w:pStyle w:val="Sangradetextonormal"/>
        <w:ind w:firstLine="720"/>
        <w:rPr>
          <w:rFonts w:ascii="Arial Narrow" w:hAnsi="Arial Narrow"/>
          <w:sz w:val="25"/>
        </w:rPr>
      </w:pPr>
    </w:p>
    <w:p w:rsidR="00B83815" w:rsidRPr="00992D26" w:rsidRDefault="00B83815" w:rsidP="00B83815">
      <w:pPr>
        <w:pStyle w:val="Sangradetextonormal"/>
        <w:ind w:firstLine="720"/>
        <w:rPr>
          <w:rFonts w:ascii="Arial Narrow" w:hAnsi="Arial Narrow"/>
          <w:sz w:val="25"/>
        </w:rPr>
      </w:pPr>
    </w:p>
    <w:p w:rsidR="00B83815" w:rsidRPr="00992D26" w:rsidRDefault="00B83815" w:rsidP="00B83815">
      <w:pPr>
        <w:pStyle w:val="Sangradetextonormal"/>
        <w:ind w:firstLine="720"/>
        <w:rPr>
          <w:rFonts w:ascii="Arial Narrow" w:hAnsi="Arial Narrow"/>
          <w:sz w:val="25"/>
        </w:rPr>
      </w:pPr>
    </w:p>
    <w:p w:rsidR="00B83815" w:rsidRPr="00992D26" w:rsidRDefault="00B83815" w:rsidP="00B83815">
      <w:pPr>
        <w:pStyle w:val="Sangradetextonormal"/>
        <w:ind w:firstLine="720"/>
        <w:rPr>
          <w:rFonts w:ascii="Arial Narrow" w:hAnsi="Arial Narrow"/>
          <w:sz w:val="25"/>
        </w:rPr>
      </w:pPr>
    </w:p>
    <w:p w:rsidR="00B83815" w:rsidRPr="00992D26" w:rsidRDefault="00B83815" w:rsidP="00B83815">
      <w:pPr>
        <w:pStyle w:val="Sangradetextonormal"/>
        <w:ind w:firstLine="720"/>
        <w:rPr>
          <w:rFonts w:ascii="Arial Narrow" w:hAnsi="Arial Narrow"/>
          <w:sz w:val="25"/>
        </w:rPr>
      </w:pPr>
    </w:p>
    <w:p w:rsidR="00B83815" w:rsidRPr="00992D26" w:rsidRDefault="00B83815" w:rsidP="00B83815">
      <w:pPr>
        <w:pStyle w:val="Sangradetextonormal"/>
        <w:ind w:firstLine="720"/>
        <w:rPr>
          <w:rFonts w:ascii="Arial Narrow" w:hAnsi="Arial Narrow"/>
          <w:sz w:val="25"/>
        </w:rPr>
      </w:pPr>
    </w:p>
    <w:p w:rsidR="00B83815" w:rsidRPr="00992D26" w:rsidRDefault="00B83815" w:rsidP="00B83815">
      <w:pPr>
        <w:pStyle w:val="Sangradetextonormal"/>
        <w:ind w:firstLine="720"/>
        <w:rPr>
          <w:rFonts w:ascii="Arial Narrow" w:hAnsi="Arial Narrow"/>
          <w:sz w:val="25"/>
        </w:rPr>
      </w:pPr>
    </w:p>
    <w:p w:rsidR="00B83815" w:rsidRPr="00992D26" w:rsidRDefault="00B83815" w:rsidP="00B83815">
      <w:pPr>
        <w:pStyle w:val="Sangradetextonormal"/>
        <w:ind w:firstLine="720"/>
        <w:rPr>
          <w:rFonts w:ascii="Arial Narrow" w:hAnsi="Arial Narrow"/>
          <w:sz w:val="25"/>
        </w:rPr>
      </w:pPr>
    </w:p>
    <w:p w:rsidR="00B83815" w:rsidRPr="00992D26" w:rsidRDefault="00B83815" w:rsidP="00B83815">
      <w:pPr>
        <w:pStyle w:val="Sangradetextonormal"/>
        <w:ind w:firstLine="720"/>
        <w:rPr>
          <w:rFonts w:ascii="Arial Narrow" w:hAnsi="Arial Narrow"/>
          <w:sz w:val="25"/>
        </w:rPr>
      </w:pPr>
    </w:p>
    <w:p w:rsidR="00B83815" w:rsidRPr="00992D26" w:rsidRDefault="00B83815" w:rsidP="00B83815">
      <w:pPr>
        <w:pStyle w:val="Sangradetextonormal"/>
        <w:ind w:left="708" w:firstLine="360"/>
        <w:jc w:val="left"/>
        <w:rPr>
          <w:rFonts w:ascii="Arial Narrow" w:hAnsi="Arial Narrow"/>
          <w:bCs/>
          <w:sz w:val="16"/>
          <w:szCs w:val="16"/>
        </w:rPr>
      </w:pPr>
    </w:p>
    <w:p w:rsidR="00B83815" w:rsidRPr="00992D26" w:rsidRDefault="00B83815" w:rsidP="00B83815">
      <w:pPr>
        <w:pStyle w:val="Sangradetextonormal"/>
        <w:ind w:left="708" w:firstLine="360"/>
        <w:jc w:val="left"/>
        <w:rPr>
          <w:rFonts w:ascii="Arial Narrow" w:hAnsi="Arial Narrow"/>
          <w:bCs/>
          <w:sz w:val="16"/>
          <w:szCs w:val="16"/>
        </w:rPr>
      </w:pPr>
      <w:r w:rsidRPr="00992D26">
        <w:rPr>
          <w:rFonts w:ascii="Arial Narrow" w:hAnsi="Arial Narrow"/>
          <w:bCs/>
          <w:sz w:val="16"/>
          <w:szCs w:val="16"/>
        </w:rPr>
        <w:t>Fuente: Secretaría del Trabajo y Previsión Social</w:t>
      </w:r>
    </w:p>
    <w:p w:rsidR="00B83815" w:rsidRPr="00992D26" w:rsidRDefault="00B83815" w:rsidP="00B83815">
      <w:pPr>
        <w:pStyle w:val="Sangradetextonormal"/>
        <w:ind w:left="708" w:firstLine="360"/>
        <w:jc w:val="left"/>
        <w:rPr>
          <w:rFonts w:ascii="Arial Narrow" w:hAnsi="Arial Narrow"/>
          <w:bCs/>
          <w:sz w:val="16"/>
          <w:szCs w:val="16"/>
        </w:rPr>
      </w:pPr>
    </w:p>
    <w:p w:rsidR="00B83815" w:rsidRDefault="00B83815" w:rsidP="00B83815">
      <w:pPr>
        <w:pStyle w:val="Sangradetextonormal"/>
        <w:ind w:left="708" w:firstLine="360"/>
        <w:jc w:val="left"/>
        <w:rPr>
          <w:rFonts w:ascii="Arial Narrow" w:hAnsi="Arial Narrow"/>
          <w:bCs/>
          <w:sz w:val="16"/>
          <w:szCs w:val="16"/>
        </w:rPr>
      </w:pPr>
    </w:p>
    <w:p w:rsidR="00B83815" w:rsidRPr="00352CE6" w:rsidRDefault="00B83815" w:rsidP="00B83815">
      <w:pPr>
        <w:pStyle w:val="Sangradetextonormal"/>
        <w:ind w:firstLine="720"/>
        <w:rPr>
          <w:rFonts w:ascii="Arial Narrow" w:hAnsi="Arial Narrow"/>
          <w:bCs/>
          <w:sz w:val="20"/>
        </w:rPr>
      </w:pPr>
      <w:r>
        <w:rPr>
          <w:rFonts w:ascii="Arial Narrow" w:hAnsi="Arial Narrow"/>
          <w:bCs/>
          <w:sz w:val="20"/>
        </w:rPr>
        <w:t>Fuente: Secretaría del Trabajo y Previsión Social</w:t>
      </w:r>
    </w:p>
    <w:p w:rsidR="00B83815" w:rsidRDefault="00B83815" w:rsidP="00B83815">
      <w:pPr>
        <w:pStyle w:val="Sangradetextonormal"/>
        <w:ind w:left="708" w:firstLine="360"/>
        <w:jc w:val="left"/>
        <w:rPr>
          <w:rFonts w:ascii="Arial Narrow" w:hAnsi="Arial Narrow"/>
          <w:bCs/>
          <w:sz w:val="16"/>
          <w:szCs w:val="16"/>
        </w:rPr>
      </w:pPr>
    </w:p>
    <w:p w:rsidR="00B83815" w:rsidRDefault="00B83815" w:rsidP="00B83815">
      <w:pPr>
        <w:pStyle w:val="Sangradetextonormal"/>
        <w:ind w:left="708" w:firstLine="360"/>
        <w:jc w:val="left"/>
        <w:rPr>
          <w:rFonts w:ascii="Arial Narrow" w:hAnsi="Arial Narrow"/>
          <w:bCs/>
          <w:sz w:val="16"/>
          <w:szCs w:val="16"/>
        </w:rPr>
      </w:pPr>
    </w:p>
    <w:p w:rsidR="00B83815" w:rsidRDefault="00B83815" w:rsidP="00B83815">
      <w:pPr>
        <w:pStyle w:val="Sangradetextonormal"/>
        <w:ind w:left="708" w:firstLine="360"/>
        <w:jc w:val="left"/>
        <w:rPr>
          <w:rFonts w:ascii="Arial Narrow" w:hAnsi="Arial Narrow"/>
          <w:bCs/>
          <w:sz w:val="16"/>
          <w:szCs w:val="16"/>
        </w:rPr>
      </w:pPr>
    </w:p>
    <w:p w:rsidR="00B83815" w:rsidRPr="00992D26" w:rsidRDefault="00B83815" w:rsidP="00B83815">
      <w:pPr>
        <w:pStyle w:val="Sangradetextonormal"/>
        <w:ind w:left="708" w:firstLine="360"/>
        <w:jc w:val="left"/>
        <w:rPr>
          <w:rFonts w:ascii="Arial Narrow" w:hAnsi="Arial Narrow"/>
          <w:bCs/>
          <w:sz w:val="16"/>
          <w:szCs w:val="16"/>
        </w:rPr>
      </w:pPr>
    </w:p>
    <w:p w:rsidR="00B83815" w:rsidRPr="00E55E3E" w:rsidRDefault="00B83815" w:rsidP="00B83815">
      <w:pPr>
        <w:pStyle w:val="Sangradetextonormal"/>
        <w:numPr>
          <w:ilvl w:val="0"/>
          <w:numId w:val="9"/>
        </w:numPr>
        <w:jc w:val="left"/>
        <w:rPr>
          <w:rFonts w:ascii="Arial Narrow" w:hAnsi="Arial Narrow"/>
          <w:b/>
          <w:bCs/>
          <w:szCs w:val="28"/>
        </w:rPr>
      </w:pPr>
      <w:r w:rsidRPr="00E55E3E">
        <w:rPr>
          <w:rFonts w:ascii="Arial Narrow" w:hAnsi="Arial Narrow"/>
          <w:b/>
          <w:bCs/>
          <w:szCs w:val="28"/>
        </w:rPr>
        <w:lastRenderedPageBreak/>
        <w:t>Inflación</w:t>
      </w:r>
    </w:p>
    <w:p w:rsidR="00B83815" w:rsidRPr="00992D26" w:rsidRDefault="00B83815" w:rsidP="00B83815">
      <w:pPr>
        <w:pStyle w:val="Sangradetextonormal"/>
        <w:ind w:left="708" w:firstLine="0"/>
        <w:jc w:val="left"/>
        <w:rPr>
          <w:rFonts w:ascii="Arial Narrow" w:hAnsi="Arial Narrow"/>
          <w:b/>
          <w:bCs/>
          <w:sz w:val="32"/>
          <w:szCs w:val="32"/>
        </w:rPr>
      </w:pPr>
    </w:p>
    <w:p w:rsidR="00B83815" w:rsidRPr="00E55E3E" w:rsidRDefault="00B83815" w:rsidP="00B83815">
      <w:pPr>
        <w:pStyle w:val="Sangradetextonormal"/>
        <w:ind w:firstLine="720"/>
        <w:rPr>
          <w:rFonts w:ascii="Arial Narrow" w:hAnsi="Arial Narrow"/>
          <w:sz w:val="22"/>
          <w:szCs w:val="22"/>
        </w:rPr>
      </w:pPr>
      <w:r>
        <w:rPr>
          <w:rFonts w:ascii="Arial Narrow" w:hAnsi="Arial Narrow"/>
          <w:sz w:val="22"/>
          <w:szCs w:val="22"/>
        </w:rPr>
        <w:t>En diciembre de 2015</w:t>
      </w:r>
      <w:r w:rsidRPr="00E55E3E">
        <w:rPr>
          <w:rFonts w:ascii="Arial Narrow" w:hAnsi="Arial Narrow"/>
          <w:sz w:val="22"/>
          <w:szCs w:val="22"/>
        </w:rPr>
        <w:t xml:space="preserve"> el Índice Nacional de Precios al Consumidor (INPC) en la ciudad de Tepic, capital del Estado de Nayarit, registró un incremento de 0.43 por ciento. De esta forma la tasa de inflación </w:t>
      </w:r>
      <w:r>
        <w:rPr>
          <w:rFonts w:ascii="Arial Narrow" w:hAnsi="Arial Narrow"/>
          <w:sz w:val="22"/>
          <w:szCs w:val="22"/>
        </w:rPr>
        <w:t>anual se situó en 2.14</w:t>
      </w:r>
      <w:r w:rsidRPr="00E55E3E">
        <w:rPr>
          <w:rFonts w:ascii="Arial Narrow" w:hAnsi="Arial Narrow"/>
          <w:sz w:val="22"/>
          <w:szCs w:val="22"/>
        </w:rPr>
        <w:t xml:space="preserve"> por ciento, mient</w:t>
      </w:r>
      <w:r>
        <w:rPr>
          <w:rFonts w:ascii="Arial Narrow" w:hAnsi="Arial Narrow"/>
          <w:sz w:val="22"/>
          <w:szCs w:val="22"/>
        </w:rPr>
        <w:t>ras que en el último mes de 2014</w:t>
      </w:r>
      <w:r w:rsidRPr="00E55E3E">
        <w:rPr>
          <w:rFonts w:ascii="Arial Narrow" w:hAnsi="Arial Narrow"/>
          <w:sz w:val="22"/>
          <w:szCs w:val="22"/>
        </w:rPr>
        <w:t xml:space="preserve"> </w:t>
      </w:r>
      <w:r>
        <w:rPr>
          <w:rFonts w:ascii="Arial Narrow" w:hAnsi="Arial Narrow"/>
          <w:sz w:val="22"/>
          <w:szCs w:val="22"/>
        </w:rPr>
        <w:t>la inflación se ubicó en 3.63</w:t>
      </w:r>
      <w:r w:rsidRPr="00E55E3E">
        <w:rPr>
          <w:rFonts w:ascii="Arial Narrow" w:hAnsi="Arial Narrow"/>
          <w:sz w:val="22"/>
          <w:szCs w:val="22"/>
        </w:rPr>
        <w:t xml:space="preserve"> por ciento.</w:t>
      </w:r>
    </w:p>
    <w:p w:rsidR="00B83815" w:rsidRPr="00992D26" w:rsidRDefault="00B83815" w:rsidP="00B83815">
      <w:pPr>
        <w:pStyle w:val="Sangradetextonormal"/>
        <w:ind w:firstLine="876"/>
        <w:rPr>
          <w:rFonts w:ascii="Arial Narrow" w:hAnsi="Arial Narrow"/>
          <w:sz w:val="25"/>
        </w:rPr>
      </w:pPr>
    </w:p>
    <w:p w:rsidR="00B83815" w:rsidRPr="00992D26" w:rsidRDefault="00B83815" w:rsidP="00B83815">
      <w:pPr>
        <w:pStyle w:val="Sangradetextonormal"/>
        <w:ind w:firstLine="876"/>
        <w:rPr>
          <w:rFonts w:ascii="Arial Narrow" w:hAnsi="Arial Narrow"/>
          <w:sz w:val="25"/>
        </w:rPr>
      </w:pPr>
    </w:p>
    <w:p w:rsidR="00B83815" w:rsidRPr="00E55E3E" w:rsidRDefault="00B83815" w:rsidP="00B83815">
      <w:pPr>
        <w:pStyle w:val="Sangradetextonormal"/>
        <w:ind w:firstLine="0"/>
        <w:jc w:val="left"/>
        <w:rPr>
          <w:rFonts w:ascii="Arial Narrow" w:hAnsi="Arial Narrow"/>
          <w:b/>
          <w:bCs/>
          <w:szCs w:val="28"/>
        </w:rPr>
      </w:pPr>
      <w:r w:rsidRPr="00E55E3E">
        <w:rPr>
          <w:rFonts w:ascii="Arial Narrow" w:hAnsi="Arial Narrow"/>
          <w:b/>
          <w:bCs/>
          <w:szCs w:val="28"/>
        </w:rPr>
        <w:t>2.1.2.3.- Postura Fiscal</w:t>
      </w:r>
    </w:p>
    <w:p w:rsidR="00B83815" w:rsidRPr="00992D26" w:rsidRDefault="00B83815" w:rsidP="00B83815">
      <w:pPr>
        <w:pStyle w:val="Sangradetextonormal"/>
        <w:spacing w:line="240" w:lineRule="exact"/>
        <w:ind w:left="539" w:firstLine="0"/>
        <w:jc w:val="left"/>
        <w:rPr>
          <w:rFonts w:ascii="Arial Narrow" w:hAnsi="Arial Narrow"/>
          <w:b/>
          <w:bCs/>
          <w:sz w:val="32"/>
          <w:szCs w:val="32"/>
        </w:rPr>
      </w:pPr>
    </w:p>
    <w:p w:rsidR="00B83815" w:rsidRDefault="00B83815" w:rsidP="00B83815">
      <w:pPr>
        <w:pStyle w:val="Sangradetextonormal"/>
        <w:spacing w:line="240" w:lineRule="exact"/>
        <w:ind w:left="539" w:firstLine="0"/>
        <w:jc w:val="left"/>
        <w:rPr>
          <w:rFonts w:ascii="Arial Narrow" w:hAnsi="Arial Narrow"/>
          <w:b/>
          <w:bCs/>
          <w:sz w:val="32"/>
          <w:szCs w:val="32"/>
        </w:rPr>
      </w:pPr>
    </w:p>
    <w:p w:rsidR="00B83815" w:rsidRPr="00992D26" w:rsidRDefault="00B83815" w:rsidP="00B83815">
      <w:pPr>
        <w:pStyle w:val="Sangradetextonormal"/>
        <w:spacing w:line="240" w:lineRule="exact"/>
        <w:ind w:left="539" w:firstLine="0"/>
        <w:jc w:val="left"/>
        <w:rPr>
          <w:rFonts w:ascii="Arial Narrow" w:hAnsi="Arial Narrow"/>
          <w:b/>
          <w:bCs/>
          <w:sz w:val="32"/>
          <w:szCs w:val="32"/>
        </w:rPr>
      </w:pPr>
    </w:p>
    <w:p w:rsidR="00B83815" w:rsidRPr="00E55E3E" w:rsidRDefault="00B83815" w:rsidP="00B83815">
      <w:pPr>
        <w:pStyle w:val="Sangradetextonormal"/>
        <w:ind w:firstLine="720"/>
        <w:rPr>
          <w:rFonts w:ascii="Arial Narrow" w:hAnsi="Arial Narrow"/>
          <w:sz w:val="22"/>
          <w:szCs w:val="22"/>
        </w:rPr>
      </w:pPr>
      <w:r w:rsidRPr="00E55E3E">
        <w:rPr>
          <w:rFonts w:ascii="Arial Narrow" w:hAnsi="Arial Narrow"/>
          <w:sz w:val="22"/>
          <w:szCs w:val="22"/>
        </w:rPr>
        <w:t>En la Iniciativa de Ley de Ingresos y Proyecto de Presupuesto de Egres</w:t>
      </w:r>
      <w:r>
        <w:rPr>
          <w:rFonts w:ascii="Arial Narrow" w:hAnsi="Arial Narrow"/>
          <w:sz w:val="22"/>
          <w:szCs w:val="22"/>
        </w:rPr>
        <w:t>os para el Ejercicio Fiscal 2015</w:t>
      </w:r>
      <w:r w:rsidRPr="00E55E3E">
        <w:rPr>
          <w:rFonts w:ascii="Arial Narrow" w:hAnsi="Arial Narrow"/>
          <w:sz w:val="22"/>
          <w:szCs w:val="22"/>
        </w:rPr>
        <w:t>, presentadas por el Poder Ejecutivo al H. Congreso del Estado se enfatizó que para este año se inte</w:t>
      </w:r>
      <w:r>
        <w:rPr>
          <w:rFonts w:ascii="Arial Narrow" w:hAnsi="Arial Narrow"/>
          <w:sz w:val="22"/>
          <w:szCs w:val="22"/>
        </w:rPr>
        <w:t xml:space="preserve">gró un paquete económico que dará continuidad </w:t>
      </w:r>
      <w:r w:rsidRPr="00E55E3E">
        <w:rPr>
          <w:rFonts w:ascii="Arial Narrow" w:hAnsi="Arial Narrow"/>
          <w:sz w:val="22"/>
          <w:szCs w:val="22"/>
        </w:rPr>
        <w:t>a</w:t>
      </w:r>
      <w:r>
        <w:rPr>
          <w:rFonts w:ascii="Arial Narrow" w:hAnsi="Arial Narrow"/>
          <w:sz w:val="22"/>
          <w:szCs w:val="22"/>
        </w:rPr>
        <w:t xml:space="preserve"> la</w:t>
      </w:r>
      <w:r w:rsidRPr="00E55E3E">
        <w:rPr>
          <w:rFonts w:ascii="Arial Narrow" w:hAnsi="Arial Narrow"/>
          <w:sz w:val="22"/>
          <w:szCs w:val="22"/>
        </w:rPr>
        <w:t xml:space="preserve"> estrategia de alcance multianual de las finanzas públicas con el fin de forjar el rumbo de los proyectos y programas en el mediano y largo plazo.</w:t>
      </w:r>
    </w:p>
    <w:p w:rsidR="00B83815" w:rsidRDefault="00B83815" w:rsidP="00B83815">
      <w:pPr>
        <w:pStyle w:val="Sangradetextonormal"/>
        <w:ind w:left="540" w:firstLine="0"/>
        <w:jc w:val="left"/>
        <w:rPr>
          <w:rFonts w:ascii="Arial Narrow" w:hAnsi="Arial Narrow"/>
          <w:b/>
          <w:bCs/>
          <w:sz w:val="32"/>
          <w:szCs w:val="32"/>
        </w:rPr>
      </w:pPr>
    </w:p>
    <w:p w:rsidR="00B83815" w:rsidRPr="00992D26" w:rsidRDefault="00B83815" w:rsidP="00B83815">
      <w:pPr>
        <w:pStyle w:val="Sangradetextonormal"/>
        <w:ind w:left="540" w:firstLine="0"/>
        <w:jc w:val="left"/>
        <w:rPr>
          <w:rFonts w:ascii="Arial Narrow" w:hAnsi="Arial Narrow"/>
          <w:b/>
          <w:bCs/>
          <w:sz w:val="32"/>
          <w:szCs w:val="32"/>
        </w:rPr>
      </w:pPr>
    </w:p>
    <w:p w:rsidR="00B83815" w:rsidRPr="00E55E3E" w:rsidRDefault="00B83815" w:rsidP="00B83815">
      <w:pPr>
        <w:pStyle w:val="Sangradetextonormal"/>
        <w:numPr>
          <w:ilvl w:val="0"/>
          <w:numId w:val="10"/>
        </w:numPr>
        <w:jc w:val="left"/>
        <w:rPr>
          <w:rFonts w:ascii="Arial Narrow" w:hAnsi="Arial Narrow"/>
          <w:b/>
          <w:bCs/>
          <w:szCs w:val="28"/>
        </w:rPr>
      </w:pPr>
      <w:r w:rsidRPr="00E55E3E">
        <w:rPr>
          <w:rFonts w:ascii="Arial Narrow" w:hAnsi="Arial Narrow"/>
          <w:b/>
          <w:bCs/>
          <w:szCs w:val="28"/>
        </w:rPr>
        <w:t>Política Fiscal</w:t>
      </w:r>
    </w:p>
    <w:p w:rsidR="00B83815" w:rsidRDefault="00B83815" w:rsidP="00B83815">
      <w:pPr>
        <w:pStyle w:val="Sangradetextonormal"/>
        <w:spacing w:line="240" w:lineRule="exact"/>
        <w:ind w:left="709" w:firstLine="0"/>
        <w:jc w:val="left"/>
        <w:rPr>
          <w:rFonts w:ascii="Arial Narrow" w:hAnsi="Arial Narrow"/>
          <w:b/>
          <w:bCs/>
          <w:sz w:val="32"/>
          <w:szCs w:val="32"/>
        </w:rPr>
      </w:pPr>
    </w:p>
    <w:p w:rsidR="00B83815" w:rsidRPr="00992D26" w:rsidRDefault="00B83815" w:rsidP="00B83815">
      <w:pPr>
        <w:pStyle w:val="Sangradetextonormal"/>
        <w:spacing w:line="240" w:lineRule="exact"/>
        <w:ind w:left="709" w:firstLine="0"/>
        <w:jc w:val="left"/>
        <w:rPr>
          <w:rFonts w:ascii="Arial Narrow" w:hAnsi="Arial Narrow"/>
          <w:b/>
          <w:bCs/>
          <w:sz w:val="32"/>
          <w:szCs w:val="32"/>
        </w:rPr>
      </w:pPr>
    </w:p>
    <w:p w:rsidR="00B83815" w:rsidRPr="00992D26" w:rsidRDefault="00B83815" w:rsidP="00B83815">
      <w:pPr>
        <w:pStyle w:val="Sangradetextonormal"/>
        <w:spacing w:line="240" w:lineRule="exact"/>
        <w:ind w:left="709" w:firstLine="0"/>
        <w:jc w:val="left"/>
        <w:rPr>
          <w:rFonts w:ascii="Arial Narrow" w:hAnsi="Arial Narrow"/>
          <w:b/>
          <w:bCs/>
          <w:sz w:val="32"/>
          <w:szCs w:val="32"/>
        </w:rPr>
      </w:pPr>
    </w:p>
    <w:p w:rsidR="00B83815" w:rsidRPr="00E55E3E" w:rsidRDefault="00B83815" w:rsidP="00B83815">
      <w:pPr>
        <w:pStyle w:val="Sangradetextonormal"/>
        <w:ind w:firstLine="708"/>
        <w:rPr>
          <w:rFonts w:ascii="Arial Narrow" w:hAnsi="Arial Narrow"/>
          <w:sz w:val="22"/>
          <w:szCs w:val="22"/>
        </w:rPr>
      </w:pPr>
      <w:r w:rsidRPr="00E55E3E">
        <w:rPr>
          <w:rFonts w:ascii="Arial Narrow" w:hAnsi="Arial Narrow"/>
          <w:sz w:val="22"/>
          <w:szCs w:val="22"/>
        </w:rPr>
        <w:t>En el</w:t>
      </w:r>
      <w:r>
        <w:rPr>
          <w:rFonts w:ascii="Arial Narrow" w:hAnsi="Arial Narrow"/>
          <w:sz w:val="22"/>
          <w:szCs w:val="22"/>
        </w:rPr>
        <w:t xml:space="preserve"> paquete fiscal para el año 2015</w:t>
      </w:r>
      <w:r w:rsidRPr="00E55E3E">
        <w:rPr>
          <w:rFonts w:ascii="Arial Narrow" w:hAnsi="Arial Narrow"/>
          <w:sz w:val="22"/>
          <w:szCs w:val="22"/>
        </w:rPr>
        <w:t xml:space="preserve"> se enfatizó que quedó formulado con estricto apego a criterios de disciplina y responsabilidad en la materia, sustentado en un marco de restricciones macroeconómicas caracterizadas por un entorno internacional de gran inestabilidad </w:t>
      </w:r>
      <w:r>
        <w:rPr>
          <w:rFonts w:ascii="Arial Narrow" w:hAnsi="Arial Narrow"/>
          <w:sz w:val="22"/>
          <w:szCs w:val="22"/>
        </w:rPr>
        <w:t>y considerando que la economía mexicana se encuentra creciendo por debajo de su potencial debido a factores externos</w:t>
      </w:r>
      <w:r w:rsidRPr="00E55E3E">
        <w:rPr>
          <w:rFonts w:ascii="Arial Narrow" w:hAnsi="Arial Narrow"/>
          <w:sz w:val="22"/>
          <w:szCs w:val="22"/>
        </w:rPr>
        <w:t>, por lo que los principales objetivos, estrategias y metas de la Política Fiscal fijados por la actual administración</w:t>
      </w:r>
      <w:r>
        <w:rPr>
          <w:rFonts w:ascii="Arial Narrow" w:hAnsi="Arial Narrow"/>
          <w:sz w:val="22"/>
          <w:szCs w:val="22"/>
        </w:rPr>
        <w:t xml:space="preserve"> estatal</w:t>
      </w:r>
      <w:r w:rsidRPr="00E55E3E">
        <w:rPr>
          <w:rFonts w:ascii="Arial Narrow" w:hAnsi="Arial Narrow"/>
          <w:sz w:val="22"/>
          <w:szCs w:val="22"/>
        </w:rPr>
        <w:t xml:space="preserve">, se presentan en el siguiente esquema: </w:t>
      </w:r>
    </w:p>
    <w:p w:rsidR="00B83815" w:rsidRPr="00992D26" w:rsidRDefault="00B83815" w:rsidP="00B83815">
      <w:pPr>
        <w:pStyle w:val="Sangradetextonormal"/>
        <w:ind w:firstLine="708"/>
        <w:rPr>
          <w:rFonts w:ascii="Arial Narrow" w:hAnsi="Arial Narrow"/>
          <w:sz w:val="25"/>
        </w:rPr>
      </w:pPr>
    </w:p>
    <w:p w:rsidR="00B83815" w:rsidRPr="00992D26" w:rsidRDefault="00B83815" w:rsidP="00B83815">
      <w:pPr>
        <w:pStyle w:val="Texto"/>
        <w:spacing w:line="225" w:lineRule="exact"/>
        <w:ind w:firstLine="0"/>
        <w:jc w:val="center"/>
        <w:outlineLvl w:val="0"/>
        <w:rPr>
          <w:rFonts w:ascii="Arial Narrow" w:hAnsi="Arial Narrow"/>
          <w:b/>
          <w:sz w:val="20"/>
          <w:szCs w:val="20"/>
        </w:rPr>
      </w:pPr>
    </w:p>
    <w:p w:rsidR="00B83815" w:rsidRPr="00992D26" w:rsidRDefault="00B83815" w:rsidP="00B83815">
      <w:pPr>
        <w:pStyle w:val="Texto"/>
        <w:spacing w:line="225" w:lineRule="exact"/>
        <w:ind w:firstLine="0"/>
        <w:jc w:val="center"/>
        <w:outlineLvl w:val="0"/>
        <w:rPr>
          <w:rFonts w:ascii="Arial Narrow" w:hAnsi="Arial Narrow"/>
          <w:b/>
          <w:sz w:val="20"/>
          <w:szCs w:val="20"/>
        </w:rPr>
      </w:pPr>
      <w:r w:rsidRPr="00992D26">
        <w:rPr>
          <w:rFonts w:ascii="Arial Narrow" w:hAnsi="Arial Narrow"/>
          <w:b/>
          <w:sz w:val="20"/>
          <w:szCs w:val="20"/>
        </w:rPr>
        <w:t>POLÍTICA FISCAL</w:t>
      </w:r>
    </w:p>
    <w:tbl>
      <w:tblPr>
        <w:tblW w:w="8712" w:type="dxa"/>
        <w:jc w:val="center"/>
        <w:tblInd w:w="144" w:type="dxa"/>
        <w:tblLayout w:type="fixed"/>
        <w:tblCellMar>
          <w:left w:w="72" w:type="dxa"/>
          <w:right w:w="72" w:type="dxa"/>
        </w:tblCellMar>
        <w:tblLook w:val="0000" w:firstRow="0" w:lastRow="0" w:firstColumn="0" w:lastColumn="0" w:noHBand="0" w:noVBand="0"/>
      </w:tblPr>
      <w:tblGrid>
        <w:gridCol w:w="8712"/>
      </w:tblGrid>
      <w:tr w:rsidR="00B83815" w:rsidRPr="00992D26" w:rsidTr="00934835">
        <w:trPr>
          <w:cantSplit/>
          <w:trHeight w:val="195"/>
          <w:jc w:val="center"/>
        </w:trPr>
        <w:tc>
          <w:tcPr>
            <w:tcW w:w="9639" w:type="dxa"/>
            <w:tcBorders>
              <w:top w:val="single" w:sz="18" w:space="0" w:color="000000"/>
              <w:bottom w:val="single" w:sz="6" w:space="0" w:color="000000"/>
            </w:tcBorders>
            <w:noWrap/>
          </w:tcPr>
          <w:p w:rsidR="00B83815" w:rsidRPr="00992D26" w:rsidRDefault="00B83815" w:rsidP="00934835">
            <w:pPr>
              <w:pStyle w:val="Texto"/>
              <w:spacing w:line="225" w:lineRule="exact"/>
              <w:ind w:firstLine="0"/>
              <w:rPr>
                <w:rFonts w:ascii="Arial Narrow" w:hAnsi="Arial Narrow"/>
              </w:rPr>
            </w:pPr>
            <w:r w:rsidRPr="00992D26">
              <w:rPr>
                <w:rFonts w:ascii="Arial Narrow" w:hAnsi="Arial Narrow"/>
                <w:b/>
              </w:rPr>
              <w:t>OBJETIVOS</w:t>
            </w:r>
          </w:p>
          <w:p w:rsidR="00B83815" w:rsidRPr="00992D26" w:rsidRDefault="00B83815" w:rsidP="00934835">
            <w:pPr>
              <w:pStyle w:val="Texto"/>
              <w:spacing w:line="225" w:lineRule="exact"/>
              <w:ind w:left="703" w:hanging="360"/>
              <w:rPr>
                <w:rFonts w:ascii="Arial Narrow" w:hAnsi="Arial Narrow"/>
              </w:rPr>
            </w:pPr>
            <w:r w:rsidRPr="00992D26">
              <w:rPr>
                <w:rFonts w:ascii="Arial Narrow" w:hAnsi="Arial Narrow"/>
              </w:rPr>
              <w:t>●</w:t>
            </w:r>
            <w:r w:rsidRPr="00992D26">
              <w:rPr>
                <w:rFonts w:ascii="Arial Narrow" w:hAnsi="Arial Narrow"/>
              </w:rPr>
              <w:tab/>
              <w:t>Mejora y Modernización de la Gestión del Gobierno Estatal que redunde en ahorros significativos desde el primer año de gobierno y a lo largo del sexenio.</w:t>
            </w:r>
          </w:p>
          <w:p w:rsidR="00B83815" w:rsidRPr="00992D26" w:rsidRDefault="00B83815" w:rsidP="00934835">
            <w:pPr>
              <w:pStyle w:val="Texto"/>
              <w:spacing w:line="225" w:lineRule="exact"/>
              <w:ind w:left="703" w:hanging="360"/>
              <w:rPr>
                <w:rFonts w:ascii="Arial Narrow" w:hAnsi="Arial Narrow"/>
              </w:rPr>
            </w:pPr>
            <w:r w:rsidRPr="00992D26">
              <w:rPr>
                <w:rFonts w:ascii="Arial Narrow" w:hAnsi="Arial Narrow"/>
              </w:rPr>
              <w:t>●</w:t>
            </w:r>
            <w:r w:rsidRPr="00992D26">
              <w:rPr>
                <w:rFonts w:ascii="Arial Narrow" w:hAnsi="Arial Narrow"/>
              </w:rPr>
              <w:tab/>
              <w:t>Reencauzamiento de recursos para el incremento del gasto de inversión pública en sectores que requieren atención inmediata como son el campo, la rehabilitación de caminos, los concernientes a la salud de la población y principalmente a la seguridad pública.</w:t>
            </w:r>
          </w:p>
        </w:tc>
      </w:tr>
      <w:tr w:rsidR="00B83815" w:rsidRPr="00992D26" w:rsidTr="00934835">
        <w:trPr>
          <w:cantSplit/>
          <w:trHeight w:val="195"/>
          <w:jc w:val="center"/>
        </w:trPr>
        <w:tc>
          <w:tcPr>
            <w:tcW w:w="9639" w:type="dxa"/>
            <w:tcBorders>
              <w:top w:val="single" w:sz="6" w:space="0" w:color="000000"/>
              <w:bottom w:val="single" w:sz="6" w:space="0" w:color="000000"/>
            </w:tcBorders>
          </w:tcPr>
          <w:p w:rsidR="00B83815" w:rsidRPr="00992D26" w:rsidRDefault="00B83815" w:rsidP="00934835">
            <w:pPr>
              <w:pStyle w:val="Texto"/>
              <w:spacing w:line="225" w:lineRule="exact"/>
              <w:ind w:firstLine="0"/>
              <w:rPr>
                <w:rFonts w:ascii="Arial Narrow" w:hAnsi="Arial Narrow"/>
                <w:b/>
              </w:rPr>
            </w:pPr>
            <w:r w:rsidRPr="00992D26">
              <w:rPr>
                <w:rFonts w:ascii="Arial Narrow" w:hAnsi="Arial Narrow"/>
                <w:b/>
              </w:rPr>
              <w:t>ESTRATEGIAS</w:t>
            </w:r>
          </w:p>
          <w:p w:rsidR="00B83815" w:rsidRPr="00992D26" w:rsidRDefault="00B83815" w:rsidP="00934835">
            <w:pPr>
              <w:pStyle w:val="Texto"/>
              <w:spacing w:line="225" w:lineRule="exact"/>
              <w:ind w:left="703" w:hanging="360"/>
              <w:rPr>
                <w:rFonts w:ascii="Arial Narrow" w:hAnsi="Arial Narrow"/>
              </w:rPr>
            </w:pPr>
            <w:r w:rsidRPr="00992D26">
              <w:rPr>
                <w:rFonts w:ascii="Arial Narrow" w:hAnsi="Arial Narrow"/>
              </w:rPr>
              <w:t>●</w:t>
            </w:r>
            <w:r w:rsidRPr="00992D26">
              <w:rPr>
                <w:rFonts w:ascii="Arial Narrow" w:hAnsi="Arial Narrow"/>
              </w:rPr>
              <w:tab/>
              <w:t>Alcance multianual de las finanzas públicas.</w:t>
            </w:r>
          </w:p>
          <w:p w:rsidR="00B83815" w:rsidRPr="00992D26" w:rsidRDefault="00B83815" w:rsidP="00934835">
            <w:pPr>
              <w:pStyle w:val="Texto"/>
              <w:spacing w:line="225" w:lineRule="exact"/>
              <w:ind w:left="703" w:hanging="360"/>
              <w:rPr>
                <w:rFonts w:ascii="Arial Narrow" w:hAnsi="Arial Narrow"/>
              </w:rPr>
            </w:pPr>
            <w:r w:rsidRPr="00992D26">
              <w:rPr>
                <w:rFonts w:ascii="Arial Narrow" w:hAnsi="Arial Narrow"/>
              </w:rPr>
              <w:t>●</w:t>
            </w:r>
            <w:r w:rsidRPr="00992D26">
              <w:rPr>
                <w:rFonts w:ascii="Arial Narrow" w:hAnsi="Arial Narrow"/>
              </w:rPr>
              <w:tab/>
              <w:t>Reconducción presupuestal.</w:t>
            </w:r>
          </w:p>
          <w:p w:rsidR="00B83815" w:rsidRPr="00992D26" w:rsidRDefault="00B83815" w:rsidP="00934835">
            <w:pPr>
              <w:pStyle w:val="Texto"/>
              <w:spacing w:line="225" w:lineRule="exact"/>
              <w:ind w:left="703" w:hanging="360"/>
              <w:rPr>
                <w:rFonts w:ascii="Arial Narrow" w:hAnsi="Arial Narrow"/>
              </w:rPr>
            </w:pPr>
            <w:r w:rsidRPr="00992D26">
              <w:rPr>
                <w:rFonts w:ascii="Arial Narrow" w:hAnsi="Arial Narrow"/>
              </w:rPr>
              <w:t>●</w:t>
            </w:r>
            <w:r w:rsidRPr="00992D26">
              <w:rPr>
                <w:rFonts w:ascii="Arial Narrow" w:hAnsi="Arial Narrow"/>
              </w:rPr>
              <w:tab/>
              <w:t>Implementación de medidas de austeridad sin dañar las funciones del Estado.</w:t>
            </w:r>
          </w:p>
          <w:p w:rsidR="00B83815" w:rsidRPr="00992D26" w:rsidRDefault="00B83815" w:rsidP="00934835">
            <w:pPr>
              <w:pStyle w:val="Texto"/>
              <w:spacing w:line="225" w:lineRule="exact"/>
              <w:ind w:left="703" w:hanging="360"/>
              <w:rPr>
                <w:rFonts w:ascii="Arial Narrow" w:hAnsi="Arial Narrow"/>
              </w:rPr>
            </w:pPr>
            <w:r w:rsidRPr="00992D26">
              <w:rPr>
                <w:rFonts w:ascii="Arial Narrow" w:hAnsi="Arial Narrow"/>
              </w:rPr>
              <w:t>●</w:t>
            </w:r>
            <w:r w:rsidRPr="00992D26">
              <w:rPr>
                <w:rFonts w:ascii="Arial Narrow" w:hAnsi="Arial Narrow"/>
              </w:rPr>
              <w:tab/>
              <w:t>Implementación de medidas y programas para fortalecer la recaudación de los ingresos propios, sin menoscabar la economía de los nayaritas.</w:t>
            </w:r>
          </w:p>
          <w:p w:rsidR="00B83815" w:rsidRPr="00992D26" w:rsidRDefault="00B83815" w:rsidP="00934835">
            <w:pPr>
              <w:pStyle w:val="Texto"/>
              <w:spacing w:line="225" w:lineRule="exact"/>
              <w:ind w:left="703" w:hanging="360"/>
              <w:rPr>
                <w:rFonts w:ascii="Arial Narrow" w:hAnsi="Arial Narrow"/>
              </w:rPr>
            </w:pPr>
            <w:r w:rsidRPr="00992D26">
              <w:rPr>
                <w:rFonts w:ascii="Arial Narrow" w:hAnsi="Arial Narrow"/>
              </w:rPr>
              <w:t>●</w:t>
            </w:r>
            <w:r w:rsidRPr="00992D26">
              <w:rPr>
                <w:rFonts w:ascii="Arial Narrow" w:hAnsi="Arial Narrow"/>
              </w:rPr>
              <w:tab/>
              <w:t>Evolucionar y diversificar las fuentes de financiamiento, mediante una actitud dinámica, proactiva y con visión de futuro, dejando atrás la actitud pasiva de solo esperar la llegada de las participaciones federales.</w:t>
            </w:r>
          </w:p>
        </w:tc>
      </w:tr>
      <w:tr w:rsidR="00B83815" w:rsidRPr="00992D26" w:rsidTr="00934835">
        <w:trPr>
          <w:cantSplit/>
          <w:trHeight w:val="195"/>
          <w:jc w:val="center"/>
        </w:trPr>
        <w:tc>
          <w:tcPr>
            <w:tcW w:w="9639" w:type="dxa"/>
            <w:tcBorders>
              <w:top w:val="single" w:sz="6" w:space="0" w:color="000000"/>
              <w:bottom w:val="single" w:sz="18" w:space="0" w:color="000000"/>
            </w:tcBorders>
          </w:tcPr>
          <w:p w:rsidR="00B83815" w:rsidRPr="00992D26" w:rsidRDefault="00B83815" w:rsidP="00934835">
            <w:pPr>
              <w:pStyle w:val="Texto"/>
              <w:spacing w:line="225" w:lineRule="exact"/>
              <w:ind w:firstLine="0"/>
              <w:rPr>
                <w:rFonts w:ascii="Arial Narrow" w:hAnsi="Arial Narrow"/>
                <w:b/>
              </w:rPr>
            </w:pPr>
            <w:r w:rsidRPr="00992D26">
              <w:rPr>
                <w:rFonts w:ascii="Arial Narrow" w:hAnsi="Arial Narrow"/>
                <w:b/>
              </w:rPr>
              <w:t>METAS</w:t>
            </w:r>
          </w:p>
          <w:p w:rsidR="00B83815" w:rsidRPr="00992D26" w:rsidRDefault="00B83815" w:rsidP="00934835">
            <w:pPr>
              <w:pStyle w:val="Texto"/>
              <w:tabs>
                <w:tab w:val="left" w:pos="4363"/>
              </w:tabs>
              <w:spacing w:line="225" w:lineRule="exact"/>
              <w:ind w:left="703" w:hanging="360"/>
              <w:rPr>
                <w:rFonts w:ascii="Arial Narrow" w:hAnsi="Arial Narrow"/>
              </w:rPr>
            </w:pPr>
            <w:r w:rsidRPr="00992D26">
              <w:rPr>
                <w:rFonts w:ascii="Arial Narrow" w:hAnsi="Arial Narrow"/>
              </w:rPr>
              <w:t>●</w:t>
            </w:r>
            <w:r w:rsidRPr="00992D26">
              <w:rPr>
                <w:rFonts w:ascii="Arial Narrow" w:hAnsi="Arial Narrow"/>
              </w:rPr>
              <w:tab/>
              <w:t>Recuperación y saneamiento de las Finanzas de la Entidad para contar con una estructura de pasivos más favorable para la Hacienda Pública.</w:t>
            </w:r>
          </w:p>
          <w:p w:rsidR="00B83815" w:rsidRPr="00992D26" w:rsidRDefault="00B83815" w:rsidP="00934835">
            <w:pPr>
              <w:pStyle w:val="Texto"/>
              <w:tabs>
                <w:tab w:val="left" w:pos="4363"/>
              </w:tabs>
              <w:spacing w:line="225" w:lineRule="exact"/>
              <w:ind w:left="703" w:hanging="360"/>
              <w:rPr>
                <w:rFonts w:ascii="Arial Narrow" w:hAnsi="Arial Narrow"/>
              </w:rPr>
            </w:pPr>
            <w:r w:rsidRPr="00992D26">
              <w:rPr>
                <w:rFonts w:ascii="Arial Narrow" w:hAnsi="Arial Narrow"/>
              </w:rPr>
              <w:t>●</w:t>
            </w:r>
            <w:r w:rsidRPr="00992D26">
              <w:rPr>
                <w:rFonts w:ascii="Arial Narrow" w:hAnsi="Arial Narrow"/>
              </w:rPr>
              <w:tab/>
              <w:t>Crecimiento económico del Estado.</w:t>
            </w:r>
          </w:p>
          <w:p w:rsidR="00B83815" w:rsidRPr="00992D26" w:rsidRDefault="00B83815" w:rsidP="00934835">
            <w:pPr>
              <w:pStyle w:val="Texto"/>
              <w:tabs>
                <w:tab w:val="left" w:pos="4363"/>
              </w:tabs>
              <w:spacing w:line="225" w:lineRule="exact"/>
              <w:ind w:left="703" w:hanging="360"/>
              <w:rPr>
                <w:rFonts w:ascii="Arial Narrow" w:hAnsi="Arial Narrow"/>
              </w:rPr>
            </w:pPr>
            <w:r w:rsidRPr="00992D26">
              <w:rPr>
                <w:rFonts w:ascii="Arial Narrow" w:hAnsi="Arial Narrow"/>
              </w:rPr>
              <w:t>●</w:t>
            </w:r>
            <w:r w:rsidRPr="00992D26">
              <w:rPr>
                <w:rFonts w:ascii="Arial Narrow" w:hAnsi="Arial Narrow"/>
              </w:rPr>
              <w:tab/>
              <w:t xml:space="preserve">Generación de empleos. </w:t>
            </w:r>
          </w:p>
          <w:p w:rsidR="00B83815" w:rsidRPr="00992D26" w:rsidRDefault="00B83815" w:rsidP="00934835">
            <w:pPr>
              <w:pStyle w:val="Texto"/>
              <w:tabs>
                <w:tab w:val="left" w:pos="4363"/>
              </w:tabs>
              <w:spacing w:line="225" w:lineRule="exact"/>
              <w:ind w:left="703" w:hanging="360"/>
              <w:rPr>
                <w:rFonts w:ascii="Arial Narrow" w:hAnsi="Arial Narrow"/>
              </w:rPr>
            </w:pPr>
            <w:r w:rsidRPr="00992D26">
              <w:rPr>
                <w:rFonts w:ascii="Arial Narrow" w:hAnsi="Arial Narrow"/>
              </w:rPr>
              <w:t>●</w:t>
            </w:r>
            <w:r w:rsidRPr="00992D26">
              <w:rPr>
                <w:rFonts w:ascii="Arial Narrow" w:hAnsi="Arial Narrow"/>
              </w:rPr>
              <w:tab/>
              <w:t>Reactivación de la economía local.</w:t>
            </w:r>
          </w:p>
          <w:p w:rsidR="00B83815" w:rsidRPr="00992D26" w:rsidRDefault="00B83815" w:rsidP="00934835">
            <w:pPr>
              <w:pStyle w:val="Texto"/>
              <w:tabs>
                <w:tab w:val="left" w:pos="4371"/>
              </w:tabs>
              <w:spacing w:line="225" w:lineRule="exact"/>
              <w:ind w:left="703" w:hanging="360"/>
              <w:rPr>
                <w:rFonts w:ascii="Arial Narrow" w:hAnsi="Arial Narrow"/>
              </w:rPr>
            </w:pPr>
            <w:r w:rsidRPr="00992D26">
              <w:rPr>
                <w:rFonts w:ascii="Arial Narrow" w:hAnsi="Arial Narrow"/>
              </w:rPr>
              <w:t>●</w:t>
            </w:r>
            <w:r w:rsidRPr="00992D26">
              <w:rPr>
                <w:rFonts w:ascii="Arial Narrow" w:hAnsi="Arial Narrow"/>
              </w:rPr>
              <w:tab/>
              <w:t>Atención integral en favor de la gente, a través de diversos programas productivos y sociales que mejoren las condiciones de vida de quien los recibe.</w:t>
            </w:r>
          </w:p>
        </w:tc>
      </w:tr>
      <w:tr w:rsidR="00B83815" w:rsidRPr="00992D26" w:rsidTr="00934835">
        <w:trPr>
          <w:cantSplit/>
          <w:trHeight w:val="195"/>
          <w:jc w:val="center"/>
        </w:trPr>
        <w:tc>
          <w:tcPr>
            <w:tcW w:w="9639" w:type="dxa"/>
            <w:tcBorders>
              <w:top w:val="single" w:sz="18" w:space="0" w:color="000000"/>
            </w:tcBorders>
          </w:tcPr>
          <w:p w:rsidR="00B83815" w:rsidRPr="00992D26" w:rsidRDefault="00B83815" w:rsidP="00934835">
            <w:pPr>
              <w:pStyle w:val="Sangradetextonormal"/>
              <w:ind w:left="540" w:firstLine="0"/>
              <w:jc w:val="left"/>
              <w:rPr>
                <w:rFonts w:ascii="Arial Narrow" w:hAnsi="Arial Narrow" w:cs="Arial"/>
                <w:b/>
                <w:bCs/>
                <w:sz w:val="16"/>
                <w:szCs w:val="16"/>
              </w:rPr>
            </w:pPr>
          </w:p>
          <w:p w:rsidR="00B83815" w:rsidRPr="00992D26" w:rsidRDefault="00B83815" w:rsidP="00934835">
            <w:pPr>
              <w:pStyle w:val="Sangradetextonormal"/>
              <w:ind w:left="540" w:firstLine="0"/>
              <w:jc w:val="left"/>
              <w:rPr>
                <w:rFonts w:ascii="Arial Narrow" w:hAnsi="Arial Narrow" w:cs="Arial"/>
                <w:bCs/>
                <w:sz w:val="16"/>
                <w:szCs w:val="16"/>
              </w:rPr>
            </w:pPr>
            <w:r w:rsidRPr="00992D26">
              <w:rPr>
                <w:rFonts w:ascii="Arial Narrow" w:hAnsi="Arial Narrow" w:cs="Arial"/>
                <w:b/>
                <w:bCs/>
                <w:sz w:val="16"/>
                <w:szCs w:val="16"/>
              </w:rPr>
              <w:t xml:space="preserve">Fuente: </w:t>
            </w:r>
            <w:r w:rsidRPr="00992D26">
              <w:rPr>
                <w:rFonts w:ascii="Arial Narrow" w:hAnsi="Arial Narrow" w:cs="Arial"/>
                <w:b/>
                <w:bCs/>
                <w:sz w:val="16"/>
                <w:szCs w:val="16"/>
              </w:rPr>
              <w:tab/>
            </w:r>
            <w:r w:rsidRPr="00992D26">
              <w:rPr>
                <w:rFonts w:ascii="Arial Narrow" w:hAnsi="Arial Narrow" w:cs="Arial"/>
                <w:bCs/>
                <w:sz w:val="16"/>
                <w:szCs w:val="16"/>
              </w:rPr>
              <w:t>Plan Estatal de Desarrollo de Nayarit 2011 - 2017</w:t>
            </w:r>
          </w:p>
          <w:p w:rsidR="00B83815" w:rsidRPr="00992D26" w:rsidRDefault="00B83815" w:rsidP="00934835">
            <w:pPr>
              <w:pStyle w:val="Sangradetextonormal"/>
              <w:ind w:left="540" w:firstLine="0"/>
              <w:jc w:val="left"/>
              <w:rPr>
                <w:rFonts w:ascii="Arial Narrow" w:hAnsi="Arial Narrow" w:cs="Arial"/>
                <w:bCs/>
                <w:sz w:val="16"/>
                <w:szCs w:val="16"/>
              </w:rPr>
            </w:pPr>
            <w:r w:rsidRPr="00992D26">
              <w:rPr>
                <w:rFonts w:ascii="Arial Narrow" w:hAnsi="Arial Narrow"/>
                <w:b/>
                <w:bCs/>
                <w:sz w:val="32"/>
                <w:szCs w:val="32"/>
              </w:rPr>
              <w:tab/>
            </w:r>
            <w:r w:rsidRPr="00992D26">
              <w:rPr>
                <w:rFonts w:ascii="Arial Narrow" w:hAnsi="Arial Narrow"/>
                <w:b/>
                <w:bCs/>
                <w:sz w:val="32"/>
                <w:szCs w:val="32"/>
              </w:rPr>
              <w:tab/>
            </w:r>
            <w:r>
              <w:rPr>
                <w:rFonts w:ascii="Arial Narrow" w:hAnsi="Arial Narrow" w:cs="Arial"/>
                <w:bCs/>
                <w:sz w:val="16"/>
                <w:szCs w:val="16"/>
              </w:rPr>
              <w:t>Paquete Fiscal 2015</w:t>
            </w:r>
          </w:p>
          <w:p w:rsidR="00B83815" w:rsidRPr="00992D26" w:rsidRDefault="00B83815" w:rsidP="00934835">
            <w:pPr>
              <w:pStyle w:val="Texto"/>
              <w:spacing w:line="225" w:lineRule="exact"/>
              <w:ind w:firstLine="0"/>
              <w:rPr>
                <w:rFonts w:ascii="Arial Narrow" w:hAnsi="Arial Narrow"/>
              </w:rPr>
            </w:pPr>
          </w:p>
          <w:p w:rsidR="00B83815" w:rsidRPr="00992D26" w:rsidRDefault="00B83815" w:rsidP="00934835">
            <w:pPr>
              <w:pStyle w:val="Texto"/>
              <w:spacing w:line="225" w:lineRule="exact"/>
              <w:ind w:firstLine="0"/>
              <w:rPr>
                <w:rFonts w:ascii="Arial Narrow" w:hAnsi="Arial Narrow"/>
              </w:rPr>
            </w:pPr>
          </w:p>
        </w:tc>
      </w:tr>
    </w:tbl>
    <w:p w:rsidR="00B83815" w:rsidRPr="00E55E3E" w:rsidRDefault="00B83815" w:rsidP="00B83815">
      <w:pPr>
        <w:pStyle w:val="Sangradetextonormal"/>
        <w:numPr>
          <w:ilvl w:val="0"/>
          <w:numId w:val="10"/>
        </w:numPr>
        <w:jc w:val="left"/>
        <w:rPr>
          <w:rFonts w:ascii="Arial Narrow" w:hAnsi="Arial Narrow"/>
          <w:b/>
          <w:bCs/>
          <w:szCs w:val="28"/>
        </w:rPr>
      </w:pPr>
      <w:r w:rsidRPr="00E55E3E">
        <w:rPr>
          <w:rFonts w:ascii="Arial Narrow" w:hAnsi="Arial Narrow"/>
          <w:b/>
          <w:bCs/>
          <w:szCs w:val="28"/>
        </w:rPr>
        <w:t>Líneas de Acción</w:t>
      </w:r>
    </w:p>
    <w:p w:rsidR="00B83815" w:rsidRPr="00992D26" w:rsidRDefault="00B83815" w:rsidP="00B83815">
      <w:pPr>
        <w:pStyle w:val="Sangradetextonormal"/>
        <w:spacing w:line="240" w:lineRule="auto"/>
        <w:ind w:left="709" w:firstLine="0"/>
        <w:jc w:val="left"/>
        <w:rPr>
          <w:rFonts w:ascii="Arial Narrow" w:hAnsi="Arial Narrow"/>
          <w:b/>
          <w:bCs/>
          <w:sz w:val="32"/>
          <w:szCs w:val="32"/>
        </w:rPr>
      </w:pPr>
    </w:p>
    <w:p w:rsidR="00B83815" w:rsidRDefault="00B83815" w:rsidP="00B83815">
      <w:pPr>
        <w:pStyle w:val="Sangradetextonormal"/>
        <w:ind w:firstLine="708"/>
        <w:rPr>
          <w:rFonts w:ascii="Arial Narrow" w:hAnsi="Arial Narrow"/>
          <w:sz w:val="22"/>
          <w:szCs w:val="22"/>
        </w:rPr>
      </w:pPr>
      <w:r w:rsidRPr="00E55E3E">
        <w:rPr>
          <w:rFonts w:ascii="Arial Narrow" w:hAnsi="Arial Narrow"/>
          <w:sz w:val="22"/>
          <w:szCs w:val="22"/>
        </w:rPr>
        <w:t xml:space="preserve">Considerando que la finalidad que persigue el Gobierno siempre debe ser el incremento de la cantidad y calidad de los bienes y servicios públicos, la reducción del gasto administrativo y operacional, buscando en </w:t>
      </w:r>
      <w:r w:rsidRPr="00E55E3E">
        <w:rPr>
          <w:rFonts w:ascii="Arial Narrow" w:hAnsi="Arial Narrow"/>
          <w:sz w:val="22"/>
          <w:szCs w:val="22"/>
        </w:rPr>
        <w:lastRenderedPageBreak/>
        <w:t>todo momento el bienestar de la sociedad, a continuación se enuncian las líneas de acción del Poder Ejecutivo en materia de finanzas públicas:</w:t>
      </w:r>
    </w:p>
    <w:p w:rsidR="00B83815" w:rsidRPr="00E55E3E" w:rsidRDefault="00B83815" w:rsidP="00B83815">
      <w:pPr>
        <w:pStyle w:val="Sangradetextonormal"/>
        <w:ind w:firstLine="708"/>
        <w:rPr>
          <w:rFonts w:ascii="Arial Narrow" w:hAnsi="Arial Narrow"/>
          <w:sz w:val="22"/>
          <w:szCs w:val="22"/>
        </w:rPr>
      </w:pPr>
    </w:p>
    <w:p w:rsidR="00B83815" w:rsidRPr="00992D26" w:rsidRDefault="00B83815" w:rsidP="00B83815">
      <w:pPr>
        <w:pStyle w:val="Texto"/>
        <w:spacing w:line="225" w:lineRule="exact"/>
        <w:ind w:firstLine="0"/>
        <w:jc w:val="center"/>
        <w:outlineLvl w:val="0"/>
        <w:rPr>
          <w:rFonts w:ascii="Arial Narrow" w:hAnsi="Arial Narrow"/>
          <w:b/>
        </w:rPr>
      </w:pPr>
      <w:r w:rsidRPr="00992D26">
        <w:rPr>
          <w:rFonts w:ascii="Arial Narrow" w:hAnsi="Arial Narrow"/>
          <w:b/>
          <w:sz w:val="20"/>
          <w:szCs w:val="20"/>
        </w:rPr>
        <w:t>LÍNEAS DE ACCIÓN</w:t>
      </w:r>
    </w:p>
    <w:tbl>
      <w:tblPr>
        <w:tblW w:w="8712" w:type="dxa"/>
        <w:jc w:val="center"/>
        <w:tblInd w:w="144" w:type="dxa"/>
        <w:tblLayout w:type="fixed"/>
        <w:tblCellMar>
          <w:left w:w="72" w:type="dxa"/>
          <w:right w:w="72" w:type="dxa"/>
        </w:tblCellMar>
        <w:tblLook w:val="0000" w:firstRow="0" w:lastRow="0" w:firstColumn="0" w:lastColumn="0" w:noHBand="0" w:noVBand="0"/>
      </w:tblPr>
      <w:tblGrid>
        <w:gridCol w:w="8712"/>
      </w:tblGrid>
      <w:tr w:rsidR="00B83815" w:rsidRPr="00992D26" w:rsidTr="00934835">
        <w:trPr>
          <w:cantSplit/>
          <w:trHeight w:val="195"/>
          <w:jc w:val="center"/>
        </w:trPr>
        <w:tc>
          <w:tcPr>
            <w:tcW w:w="8712" w:type="dxa"/>
            <w:tcBorders>
              <w:top w:val="single" w:sz="18" w:space="0" w:color="000000"/>
              <w:bottom w:val="single" w:sz="6" w:space="0" w:color="000000"/>
            </w:tcBorders>
            <w:noWrap/>
          </w:tcPr>
          <w:p w:rsidR="00B83815" w:rsidRPr="00992D26" w:rsidRDefault="00B83815" w:rsidP="00934835">
            <w:pPr>
              <w:pStyle w:val="Texto"/>
              <w:spacing w:line="225" w:lineRule="exact"/>
              <w:ind w:firstLine="0"/>
              <w:rPr>
                <w:rFonts w:ascii="Arial Narrow" w:hAnsi="Arial Narrow"/>
              </w:rPr>
            </w:pPr>
            <w:r w:rsidRPr="00992D26">
              <w:rPr>
                <w:rFonts w:ascii="Arial Narrow" w:hAnsi="Arial Narrow"/>
                <w:b/>
              </w:rPr>
              <w:t>INGRESOS</w:t>
            </w:r>
          </w:p>
          <w:p w:rsidR="00B83815" w:rsidRPr="00992D26" w:rsidRDefault="00B83815" w:rsidP="00934835">
            <w:pPr>
              <w:pStyle w:val="Texto"/>
              <w:spacing w:line="225" w:lineRule="exact"/>
              <w:ind w:left="703" w:hanging="360"/>
              <w:rPr>
                <w:rFonts w:ascii="Arial Narrow" w:hAnsi="Arial Narrow"/>
              </w:rPr>
            </w:pPr>
            <w:r w:rsidRPr="00992D26">
              <w:rPr>
                <w:rFonts w:ascii="Arial Narrow" w:hAnsi="Arial Narrow"/>
              </w:rPr>
              <w:t>●</w:t>
            </w:r>
            <w:r w:rsidRPr="00992D26">
              <w:rPr>
                <w:rFonts w:ascii="Arial Narrow" w:hAnsi="Arial Narrow"/>
              </w:rPr>
              <w:tab/>
              <w:t>Ampliar la base gravable.</w:t>
            </w:r>
          </w:p>
          <w:p w:rsidR="00B83815" w:rsidRPr="00992D26" w:rsidRDefault="00B83815" w:rsidP="00934835">
            <w:pPr>
              <w:pStyle w:val="Texto"/>
              <w:spacing w:line="225" w:lineRule="exact"/>
              <w:ind w:left="703" w:hanging="360"/>
              <w:rPr>
                <w:rFonts w:ascii="Arial Narrow" w:hAnsi="Arial Narrow"/>
              </w:rPr>
            </w:pPr>
            <w:r w:rsidRPr="00992D26">
              <w:rPr>
                <w:rFonts w:ascii="Arial Narrow" w:hAnsi="Arial Narrow"/>
              </w:rPr>
              <w:t>●</w:t>
            </w:r>
            <w:r w:rsidRPr="00992D26">
              <w:rPr>
                <w:rFonts w:ascii="Arial Narrow" w:hAnsi="Arial Narrow"/>
              </w:rPr>
              <w:tab/>
              <w:t>Depuración de padrones.</w:t>
            </w:r>
          </w:p>
          <w:p w:rsidR="00B83815" w:rsidRPr="00992D26" w:rsidRDefault="00B83815" w:rsidP="00934835">
            <w:pPr>
              <w:pStyle w:val="Texto"/>
              <w:spacing w:line="225" w:lineRule="exact"/>
              <w:ind w:left="703" w:hanging="360"/>
              <w:rPr>
                <w:rFonts w:ascii="Arial Narrow" w:hAnsi="Arial Narrow"/>
              </w:rPr>
            </w:pPr>
            <w:r w:rsidRPr="00992D26">
              <w:rPr>
                <w:rFonts w:ascii="Arial Narrow" w:hAnsi="Arial Narrow"/>
              </w:rPr>
              <w:t>●</w:t>
            </w:r>
            <w:r w:rsidRPr="00992D26">
              <w:rPr>
                <w:rFonts w:ascii="Arial Narrow" w:hAnsi="Arial Narrow"/>
              </w:rPr>
              <w:tab/>
              <w:t>Facilitación en el pago de impuestos.</w:t>
            </w:r>
          </w:p>
          <w:p w:rsidR="00B83815" w:rsidRPr="00992D26" w:rsidRDefault="00B83815" w:rsidP="00934835">
            <w:pPr>
              <w:pStyle w:val="Texto"/>
              <w:spacing w:line="225" w:lineRule="exact"/>
              <w:ind w:left="703" w:hanging="360"/>
              <w:rPr>
                <w:rFonts w:ascii="Arial Narrow" w:hAnsi="Arial Narrow"/>
              </w:rPr>
            </w:pPr>
            <w:r w:rsidRPr="00992D26">
              <w:rPr>
                <w:rFonts w:ascii="Arial Narrow" w:hAnsi="Arial Narrow"/>
              </w:rPr>
              <w:t>●</w:t>
            </w:r>
            <w:r w:rsidRPr="00992D26">
              <w:rPr>
                <w:rFonts w:ascii="Arial Narrow" w:hAnsi="Arial Narrow"/>
              </w:rPr>
              <w:tab/>
              <w:t>Mantener el factor de actualización anual en base a su incremento indexado al del Salario Mínimo.</w:t>
            </w:r>
          </w:p>
          <w:p w:rsidR="00B83815" w:rsidRPr="00992D26" w:rsidRDefault="00B83815" w:rsidP="00934835">
            <w:pPr>
              <w:pStyle w:val="Texto"/>
              <w:spacing w:line="225" w:lineRule="exact"/>
              <w:ind w:left="703" w:hanging="360"/>
              <w:rPr>
                <w:rFonts w:ascii="Arial Narrow" w:hAnsi="Arial Narrow"/>
              </w:rPr>
            </w:pPr>
            <w:r w:rsidRPr="00992D26">
              <w:rPr>
                <w:rFonts w:ascii="Arial Narrow" w:hAnsi="Arial Narrow"/>
              </w:rPr>
              <w:t>●</w:t>
            </w:r>
            <w:r w:rsidRPr="00992D26">
              <w:rPr>
                <w:rFonts w:ascii="Arial Narrow" w:hAnsi="Arial Narrow"/>
              </w:rPr>
              <w:tab/>
              <w:t>Modificar algunos conceptos de Derechos y ajustar sus costos a la oferta del mercado, en virtud de que el Estado no recupera el costo que implica la prestación de diversos servicios.</w:t>
            </w:r>
          </w:p>
        </w:tc>
      </w:tr>
      <w:tr w:rsidR="00B83815" w:rsidRPr="00992D26" w:rsidTr="00934835">
        <w:trPr>
          <w:cantSplit/>
          <w:trHeight w:val="195"/>
          <w:jc w:val="center"/>
        </w:trPr>
        <w:tc>
          <w:tcPr>
            <w:tcW w:w="8712" w:type="dxa"/>
            <w:tcBorders>
              <w:top w:val="single" w:sz="6" w:space="0" w:color="000000"/>
              <w:bottom w:val="single" w:sz="18" w:space="0" w:color="000000"/>
            </w:tcBorders>
          </w:tcPr>
          <w:p w:rsidR="00B83815" w:rsidRPr="00992D26" w:rsidRDefault="00B83815" w:rsidP="00934835">
            <w:pPr>
              <w:pStyle w:val="Texto"/>
              <w:spacing w:line="225" w:lineRule="exact"/>
              <w:ind w:firstLine="0"/>
              <w:rPr>
                <w:rFonts w:ascii="Arial Narrow" w:hAnsi="Arial Narrow"/>
                <w:b/>
              </w:rPr>
            </w:pPr>
            <w:r w:rsidRPr="00992D26">
              <w:rPr>
                <w:rFonts w:ascii="Arial Narrow" w:hAnsi="Arial Narrow"/>
                <w:b/>
              </w:rPr>
              <w:t>GASTO</w:t>
            </w:r>
          </w:p>
          <w:p w:rsidR="00B83815" w:rsidRPr="00992D26" w:rsidRDefault="00B83815" w:rsidP="00934835">
            <w:pPr>
              <w:pStyle w:val="Texto"/>
              <w:spacing w:line="225" w:lineRule="exact"/>
              <w:ind w:left="703" w:hanging="360"/>
              <w:rPr>
                <w:rFonts w:ascii="Arial Narrow" w:hAnsi="Arial Narrow"/>
              </w:rPr>
            </w:pPr>
            <w:r w:rsidRPr="00992D26">
              <w:rPr>
                <w:rFonts w:ascii="Arial Narrow" w:hAnsi="Arial Narrow"/>
              </w:rPr>
              <w:t>●</w:t>
            </w:r>
            <w:r w:rsidRPr="00992D26">
              <w:rPr>
                <w:rFonts w:ascii="Arial Narrow" w:hAnsi="Arial Narrow"/>
              </w:rPr>
              <w:tab/>
              <w:t>Política de austeridad en la contratación de bienes y servicios, así como en el gasto de operación de las dependencias y entidades paraestatales.</w:t>
            </w:r>
          </w:p>
          <w:p w:rsidR="00B83815" w:rsidRPr="00992D26" w:rsidRDefault="00B83815" w:rsidP="00934835">
            <w:pPr>
              <w:pStyle w:val="Texto"/>
              <w:spacing w:line="225" w:lineRule="exact"/>
              <w:ind w:left="703" w:hanging="360"/>
              <w:rPr>
                <w:rFonts w:ascii="Arial Narrow" w:hAnsi="Arial Narrow"/>
              </w:rPr>
            </w:pPr>
            <w:r w:rsidRPr="00992D26">
              <w:rPr>
                <w:rFonts w:ascii="Arial Narrow" w:hAnsi="Arial Narrow"/>
              </w:rPr>
              <w:t>●</w:t>
            </w:r>
            <w:r w:rsidRPr="00992D26">
              <w:rPr>
                <w:rFonts w:ascii="Arial Narrow" w:hAnsi="Arial Narrow"/>
              </w:rPr>
              <w:tab/>
              <w:t>Reconducción relevante de los  recursos hacia la inversión pública, el campo, la salud, la seguridad pública y el desarrollo social en general.</w:t>
            </w:r>
          </w:p>
        </w:tc>
      </w:tr>
    </w:tbl>
    <w:p w:rsidR="00B83815" w:rsidRPr="00992D26" w:rsidRDefault="00B83815" w:rsidP="00B83815">
      <w:pPr>
        <w:pStyle w:val="Sangradetextonormal"/>
        <w:ind w:left="540" w:firstLine="0"/>
        <w:jc w:val="left"/>
        <w:rPr>
          <w:rFonts w:ascii="Arial Narrow" w:hAnsi="Arial Narrow" w:cs="Arial"/>
          <w:b/>
          <w:bCs/>
          <w:sz w:val="16"/>
          <w:szCs w:val="16"/>
        </w:rPr>
      </w:pPr>
    </w:p>
    <w:p w:rsidR="00B83815" w:rsidRPr="00992D26" w:rsidRDefault="00B83815" w:rsidP="00B83815">
      <w:pPr>
        <w:pStyle w:val="Sangradetextonormal"/>
        <w:ind w:left="540" w:firstLine="0"/>
        <w:jc w:val="left"/>
        <w:rPr>
          <w:rFonts w:ascii="Arial Narrow" w:hAnsi="Arial Narrow" w:cs="Arial"/>
          <w:bCs/>
          <w:sz w:val="16"/>
          <w:szCs w:val="16"/>
        </w:rPr>
      </w:pPr>
      <w:r w:rsidRPr="00992D26">
        <w:rPr>
          <w:rFonts w:ascii="Arial Narrow" w:hAnsi="Arial Narrow" w:cs="Arial"/>
          <w:b/>
          <w:bCs/>
          <w:sz w:val="16"/>
          <w:szCs w:val="16"/>
        </w:rPr>
        <w:t xml:space="preserve">Fuente: </w:t>
      </w:r>
      <w:r w:rsidRPr="00992D26">
        <w:rPr>
          <w:rFonts w:ascii="Arial Narrow" w:hAnsi="Arial Narrow" w:cs="Arial"/>
          <w:b/>
          <w:bCs/>
          <w:sz w:val="16"/>
          <w:szCs w:val="16"/>
        </w:rPr>
        <w:tab/>
      </w:r>
      <w:r w:rsidRPr="00992D26">
        <w:rPr>
          <w:rFonts w:ascii="Arial Narrow" w:hAnsi="Arial Narrow" w:cs="Arial"/>
          <w:bCs/>
          <w:sz w:val="16"/>
          <w:szCs w:val="16"/>
        </w:rPr>
        <w:t>Plan Estatal de Desarrollo de Nayarit 2011 - 2017</w:t>
      </w:r>
    </w:p>
    <w:p w:rsidR="00B83815" w:rsidRPr="00992D26" w:rsidRDefault="00B83815" w:rsidP="00B83815">
      <w:pPr>
        <w:pStyle w:val="Sangradetextonormal"/>
        <w:ind w:left="540" w:firstLine="0"/>
        <w:jc w:val="left"/>
        <w:rPr>
          <w:rFonts w:ascii="Arial Narrow" w:hAnsi="Arial Narrow" w:cs="Arial"/>
          <w:bCs/>
          <w:sz w:val="16"/>
          <w:szCs w:val="16"/>
        </w:rPr>
      </w:pPr>
      <w:r w:rsidRPr="00992D26">
        <w:rPr>
          <w:rFonts w:ascii="Arial Narrow" w:hAnsi="Arial Narrow"/>
          <w:b/>
          <w:bCs/>
          <w:sz w:val="32"/>
          <w:szCs w:val="32"/>
        </w:rPr>
        <w:tab/>
      </w:r>
      <w:r w:rsidRPr="00992D26">
        <w:rPr>
          <w:rFonts w:ascii="Arial Narrow" w:hAnsi="Arial Narrow"/>
          <w:b/>
          <w:bCs/>
          <w:sz w:val="32"/>
          <w:szCs w:val="32"/>
        </w:rPr>
        <w:tab/>
      </w:r>
      <w:r>
        <w:rPr>
          <w:rFonts w:ascii="Arial Narrow" w:hAnsi="Arial Narrow" w:cs="Arial"/>
          <w:bCs/>
          <w:sz w:val="16"/>
          <w:szCs w:val="16"/>
        </w:rPr>
        <w:t>Paquete Fiscal 2015</w:t>
      </w: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spacing w:line="240" w:lineRule="exact"/>
        <w:ind w:left="709" w:firstLine="0"/>
        <w:jc w:val="left"/>
        <w:rPr>
          <w:rFonts w:ascii="Arial Narrow" w:hAnsi="Arial Narrow"/>
          <w:b/>
          <w:bCs/>
          <w:sz w:val="32"/>
          <w:szCs w:val="32"/>
        </w:rPr>
      </w:pPr>
    </w:p>
    <w:p w:rsidR="00B83815" w:rsidRPr="00A143DE" w:rsidRDefault="00B83815" w:rsidP="00B83815">
      <w:pPr>
        <w:pStyle w:val="Sangradetextonormal"/>
        <w:ind w:firstLine="0"/>
        <w:jc w:val="left"/>
        <w:rPr>
          <w:rFonts w:ascii="Arial Narrow" w:hAnsi="Arial Narrow"/>
          <w:b/>
          <w:bCs/>
          <w:szCs w:val="28"/>
        </w:rPr>
      </w:pPr>
      <w:r w:rsidRPr="00A143DE">
        <w:rPr>
          <w:rFonts w:ascii="Arial Narrow" w:hAnsi="Arial Narrow"/>
          <w:b/>
          <w:bCs/>
          <w:szCs w:val="28"/>
        </w:rPr>
        <w:t>2.1.2.4.- Resultados obtenidos</w:t>
      </w:r>
    </w:p>
    <w:p w:rsidR="00B83815" w:rsidRDefault="00B83815" w:rsidP="00B83815">
      <w:pPr>
        <w:pStyle w:val="Sangradetextonormal"/>
        <w:spacing w:line="240" w:lineRule="exact"/>
        <w:ind w:left="709" w:firstLine="0"/>
        <w:jc w:val="left"/>
        <w:rPr>
          <w:rFonts w:ascii="Arial Narrow" w:hAnsi="Arial Narrow"/>
          <w:b/>
          <w:bCs/>
          <w:sz w:val="32"/>
          <w:szCs w:val="32"/>
        </w:rPr>
      </w:pPr>
    </w:p>
    <w:p w:rsidR="00B83815" w:rsidRPr="00992D26" w:rsidRDefault="00B83815" w:rsidP="00B83815">
      <w:pPr>
        <w:pStyle w:val="Sangradetextonormal"/>
        <w:spacing w:line="240" w:lineRule="exact"/>
        <w:ind w:left="709" w:firstLine="0"/>
        <w:jc w:val="left"/>
        <w:rPr>
          <w:rFonts w:ascii="Arial Narrow" w:hAnsi="Arial Narrow"/>
          <w:b/>
          <w:bCs/>
          <w:sz w:val="32"/>
          <w:szCs w:val="32"/>
        </w:rPr>
      </w:pPr>
    </w:p>
    <w:p w:rsidR="00B83815" w:rsidRPr="00A143DE" w:rsidRDefault="00B83815" w:rsidP="00B83815">
      <w:pPr>
        <w:pStyle w:val="Sangradetextonormal"/>
        <w:ind w:firstLine="708"/>
        <w:rPr>
          <w:rFonts w:ascii="Arial Narrow" w:hAnsi="Arial Narrow"/>
          <w:sz w:val="22"/>
          <w:szCs w:val="22"/>
        </w:rPr>
      </w:pPr>
      <w:r w:rsidRPr="00A143DE">
        <w:rPr>
          <w:rFonts w:ascii="Arial Narrow" w:hAnsi="Arial Narrow"/>
          <w:sz w:val="22"/>
          <w:szCs w:val="22"/>
        </w:rPr>
        <w:t xml:space="preserve">En esta sección se destacan los resultados alcanzados en la gestión financiera emprendida durante el </w:t>
      </w:r>
      <w:r>
        <w:rPr>
          <w:rFonts w:ascii="Arial Narrow" w:hAnsi="Arial Narrow"/>
          <w:sz w:val="22"/>
          <w:szCs w:val="22"/>
        </w:rPr>
        <w:t>Ejercicio Fiscal 2015</w:t>
      </w:r>
      <w:r w:rsidRPr="00A143DE">
        <w:rPr>
          <w:rFonts w:ascii="Arial Narrow" w:hAnsi="Arial Narrow"/>
          <w:sz w:val="22"/>
          <w:szCs w:val="22"/>
        </w:rPr>
        <w:t xml:space="preserve"> derivado de la puesta en práctica de los objetivos, estrategias y metas de la política fiscal establecidos para el periodo que nos ocupa.</w:t>
      </w:r>
    </w:p>
    <w:p w:rsidR="00B83815" w:rsidRPr="00A143DE" w:rsidRDefault="00B83815" w:rsidP="00B83815">
      <w:pPr>
        <w:pStyle w:val="Sangradetextonormal"/>
        <w:ind w:firstLine="708"/>
        <w:rPr>
          <w:rFonts w:ascii="Arial Narrow" w:hAnsi="Arial Narrow"/>
          <w:sz w:val="22"/>
          <w:szCs w:val="22"/>
        </w:rPr>
      </w:pPr>
    </w:p>
    <w:p w:rsidR="00B83815" w:rsidRPr="00A143DE" w:rsidRDefault="00B83815" w:rsidP="00B83815">
      <w:pPr>
        <w:pStyle w:val="Sangradetextonormal"/>
        <w:ind w:firstLine="708"/>
        <w:rPr>
          <w:rFonts w:ascii="Arial Narrow" w:hAnsi="Arial Narrow"/>
          <w:sz w:val="22"/>
          <w:szCs w:val="22"/>
        </w:rPr>
      </w:pPr>
      <w:r w:rsidRPr="00A143DE">
        <w:rPr>
          <w:rFonts w:ascii="Arial Narrow" w:hAnsi="Arial Narrow"/>
          <w:sz w:val="22"/>
          <w:szCs w:val="22"/>
        </w:rPr>
        <w:t>En cumplimiento a lo dispuesto en el Capítulo VII del Manual de Contabilidad Gubernamental, en la página siguiente se presenta el cuadro denominado Indicadores de Postura Fiscal.</w:t>
      </w:r>
    </w:p>
    <w:p w:rsidR="00B83815" w:rsidRPr="00992D26" w:rsidRDefault="00B83815" w:rsidP="00B83815">
      <w:pPr>
        <w:pStyle w:val="Sangradetextonormal"/>
        <w:ind w:firstLine="708"/>
        <w:rPr>
          <w:rFonts w:ascii="Arial Narrow" w:hAnsi="Arial Narrow"/>
          <w:b/>
          <w:bCs/>
          <w:sz w:val="32"/>
          <w:szCs w:val="32"/>
        </w:rPr>
      </w:pPr>
    </w:p>
    <w:p w:rsidR="00B83815" w:rsidRPr="00992D26" w:rsidRDefault="00303B1A" w:rsidP="00B83815">
      <w:pPr>
        <w:pStyle w:val="Sangradetextonormal"/>
        <w:ind w:left="708" w:firstLine="0"/>
        <w:jc w:val="left"/>
        <w:rPr>
          <w:rFonts w:ascii="Arial Narrow" w:hAnsi="Arial Narrow"/>
          <w:b/>
          <w:bCs/>
          <w:sz w:val="32"/>
          <w:szCs w:val="32"/>
        </w:rPr>
      </w:pPr>
      <w:r>
        <w:rPr>
          <w:rFonts w:ascii="Arial Narrow" w:hAnsi="Arial Narrow"/>
          <w:b/>
          <w:bCs/>
          <w:noProof/>
          <w:sz w:val="32"/>
          <w:szCs w:val="32"/>
        </w:rPr>
        <w:lastRenderedPageBreak/>
        <w:pict>
          <v:shape id="_x0000_s1094" type="#_x0000_t75" style="position:absolute;left:0;text-align:left;margin-left:-1.15pt;margin-top:5.55pt;width:456.35pt;height:354.75pt;z-index:251736064;mso-position-horizontal-relative:text;mso-position-vertical-relative:text">
            <v:imagedata r:id="rId16" o:title=""/>
          </v:shape>
          <o:OLEObject Type="Embed" ProgID="Excel.Sheet.8" ShapeID="_x0000_s1094" DrawAspect="Content" ObjectID="_1521633388" r:id="rId17"/>
        </w:pict>
      </w: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934835" w:rsidRDefault="00934835" w:rsidP="00934835">
      <w:pPr>
        <w:pStyle w:val="Sangradetextonormal"/>
        <w:ind w:left="142" w:hanging="142"/>
        <w:rPr>
          <w:rFonts w:ascii="Arial Narrow" w:hAnsi="Arial Narrow"/>
          <w:bCs/>
          <w:sz w:val="14"/>
          <w:szCs w:val="14"/>
        </w:rPr>
      </w:pPr>
      <w:r w:rsidRPr="00187D10">
        <w:rPr>
          <w:rFonts w:ascii="Arial Narrow" w:hAnsi="Arial Narrow"/>
          <w:bCs/>
          <w:sz w:val="14"/>
          <w:szCs w:val="14"/>
          <w:vertAlign w:val="superscript"/>
        </w:rPr>
        <w:t xml:space="preserve">1 </w:t>
      </w:r>
      <w:r w:rsidRPr="00934835">
        <w:rPr>
          <w:rFonts w:ascii="Arial Narrow" w:hAnsi="Arial Narrow"/>
          <w:bCs/>
          <w:sz w:val="14"/>
          <w:szCs w:val="14"/>
        </w:rPr>
        <w:t>Los Ingresos que se presentan son los ingresos presupuestarios totales sin incluir los ingresos por financiamientos. Los Ingresos del Gobierno de la Entidad Federat</w:t>
      </w:r>
      <w:r w:rsidR="00E103B3">
        <w:rPr>
          <w:rFonts w:ascii="Arial Narrow" w:hAnsi="Arial Narrow"/>
          <w:bCs/>
          <w:sz w:val="14"/>
          <w:szCs w:val="14"/>
        </w:rPr>
        <w:t xml:space="preserve">iva corresponden </w:t>
      </w:r>
      <w:r w:rsidRPr="00934835">
        <w:rPr>
          <w:rFonts w:ascii="Arial Narrow" w:hAnsi="Arial Narrow"/>
          <w:bCs/>
          <w:sz w:val="14"/>
          <w:szCs w:val="14"/>
        </w:rPr>
        <w:t>a los del Poder Ejecutivo, Legislativo, Judicial y Órganos Autónomos. Los ingresos del Sector Paraestatal no consideran los importes por Transferencias, Asignaciones, Subsidios y Otras Ayudas recibidas del Poder Ejecutivo del Estado.</w:t>
      </w:r>
    </w:p>
    <w:p w:rsidR="00934835" w:rsidRDefault="00934835" w:rsidP="00934835">
      <w:pPr>
        <w:pStyle w:val="Sangradetextonormal"/>
        <w:ind w:left="142" w:hanging="142"/>
        <w:rPr>
          <w:rFonts w:ascii="Arial Narrow" w:hAnsi="Arial Narrow"/>
          <w:bCs/>
          <w:sz w:val="14"/>
          <w:szCs w:val="14"/>
        </w:rPr>
      </w:pPr>
      <w:r w:rsidRPr="00187D10">
        <w:rPr>
          <w:rFonts w:ascii="Arial Narrow" w:hAnsi="Arial Narrow"/>
          <w:bCs/>
          <w:sz w:val="14"/>
          <w:szCs w:val="14"/>
          <w:vertAlign w:val="superscript"/>
        </w:rPr>
        <w:t>2</w:t>
      </w:r>
      <w:r>
        <w:rPr>
          <w:rFonts w:ascii="Arial Narrow" w:hAnsi="Arial Narrow"/>
          <w:bCs/>
          <w:sz w:val="14"/>
          <w:szCs w:val="14"/>
        </w:rPr>
        <w:t xml:space="preserve"> </w:t>
      </w:r>
      <w:r w:rsidRPr="00934835">
        <w:rPr>
          <w:rFonts w:ascii="Arial Narrow" w:hAnsi="Arial Narrow"/>
          <w:bCs/>
          <w:sz w:val="14"/>
          <w:szCs w:val="14"/>
        </w:rPr>
        <w:t>Los egresos que se presentan son los egresos presupuestarios totales sin incluir los egresos por amortización. Los egresos del Gobierno de la Entidad Federat</w:t>
      </w:r>
      <w:r w:rsidR="00E103B3">
        <w:rPr>
          <w:rFonts w:ascii="Arial Narrow" w:hAnsi="Arial Narrow"/>
          <w:bCs/>
          <w:sz w:val="14"/>
          <w:szCs w:val="14"/>
        </w:rPr>
        <w:t xml:space="preserve">iva corresponden </w:t>
      </w:r>
      <w:r w:rsidRPr="00934835">
        <w:rPr>
          <w:rFonts w:ascii="Arial Narrow" w:hAnsi="Arial Narrow"/>
          <w:bCs/>
          <w:sz w:val="14"/>
          <w:szCs w:val="14"/>
        </w:rPr>
        <w:t>a los del Poder Ejecutivo, Legislativo, Judicial y Órganos Autón</w:t>
      </w:r>
      <w:r w:rsidR="00B1643A">
        <w:rPr>
          <w:rFonts w:ascii="Arial Narrow" w:hAnsi="Arial Narrow"/>
          <w:bCs/>
          <w:sz w:val="14"/>
          <w:szCs w:val="14"/>
        </w:rPr>
        <w:t xml:space="preserve">omos, sin considerar </w:t>
      </w:r>
      <w:r w:rsidRPr="00934835">
        <w:rPr>
          <w:rFonts w:ascii="Arial Narrow" w:hAnsi="Arial Narrow"/>
          <w:bCs/>
          <w:sz w:val="14"/>
          <w:szCs w:val="14"/>
        </w:rPr>
        <w:t>las Transferencias, Asignaciones, Subsidios y Otras Ayudas realizadas al Sector Paraestatal del Estado.</w:t>
      </w:r>
      <w:r>
        <w:rPr>
          <w:rFonts w:ascii="Arial Narrow" w:hAnsi="Arial Narrow"/>
          <w:bCs/>
          <w:sz w:val="14"/>
          <w:szCs w:val="14"/>
        </w:rPr>
        <w:t xml:space="preserve"> </w:t>
      </w:r>
    </w:p>
    <w:p w:rsidR="00934835" w:rsidRDefault="00934835" w:rsidP="00934835">
      <w:pPr>
        <w:pStyle w:val="Sangradetextonormal"/>
        <w:ind w:left="142" w:hanging="142"/>
        <w:rPr>
          <w:rFonts w:ascii="Arial Narrow" w:hAnsi="Arial Narrow"/>
          <w:bCs/>
          <w:sz w:val="14"/>
          <w:szCs w:val="14"/>
        </w:rPr>
      </w:pPr>
      <w:r w:rsidRPr="00187D10">
        <w:rPr>
          <w:rFonts w:ascii="Arial Narrow" w:hAnsi="Arial Narrow"/>
          <w:bCs/>
          <w:sz w:val="14"/>
          <w:szCs w:val="14"/>
          <w:vertAlign w:val="superscript"/>
        </w:rPr>
        <w:t>3</w:t>
      </w:r>
      <w:r>
        <w:rPr>
          <w:rFonts w:ascii="Arial Narrow" w:hAnsi="Arial Narrow"/>
          <w:bCs/>
          <w:sz w:val="14"/>
          <w:szCs w:val="14"/>
        </w:rPr>
        <w:t xml:space="preserve"> </w:t>
      </w:r>
      <w:r w:rsidRPr="00934835">
        <w:rPr>
          <w:rFonts w:ascii="Arial Narrow" w:hAnsi="Arial Narrow"/>
          <w:bCs/>
          <w:sz w:val="14"/>
          <w:szCs w:val="14"/>
        </w:rPr>
        <w:t>Para Ingresos se reportan los ingresos recaudados; para egresos se reportan los egresos pagados.</w:t>
      </w:r>
    </w:p>
    <w:p w:rsidR="00B83815" w:rsidRPr="00934835" w:rsidRDefault="00934835" w:rsidP="00934835">
      <w:pPr>
        <w:pStyle w:val="Sangradetextonormal"/>
        <w:ind w:left="708" w:firstLine="0"/>
        <w:rPr>
          <w:rFonts w:ascii="Arial Narrow" w:hAnsi="Arial Narrow"/>
          <w:bCs/>
          <w:sz w:val="14"/>
          <w:szCs w:val="14"/>
        </w:rPr>
      </w:pPr>
      <w:r w:rsidRPr="00934835">
        <w:rPr>
          <w:rFonts w:ascii="Arial Narrow" w:hAnsi="Arial Narrow"/>
          <w:bCs/>
          <w:sz w:val="14"/>
          <w:szCs w:val="14"/>
        </w:rPr>
        <w:tab/>
      </w:r>
      <w:r w:rsidRPr="00934835">
        <w:rPr>
          <w:rFonts w:ascii="Arial Narrow" w:hAnsi="Arial Narrow"/>
          <w:bCs/>
          <w:sz w:val="14"/>
          <w:szCs w:val="14"/>
        </w:rPr>
        <w:tab/>
      </w:r>
      <w:r w:rsidRPr="00934835">
        <w:rPr>
          <w:rFonts w:ascii="Arial Narrow" w:hAnsi="Arial Narrow"/>
          <w:bCs/>
          <w:sz w:val="14"/>
          <w:szCs w:val="14"/>
        </w:rPr>
        <w:tab/>
      </w: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A143DE" w:rsidRDefault="00B83815" w:rsidP="00B83815">
      <w:pPr>
        <w:pStyle w:val="Sangradetextonormal"/>
        <w:ind w:firstLine="708"/>
        <w:rPr>
          <w:rFonts w:ascii="Arial Narrow" w:hAnsi="Arial Narrow"/>
          <w:b/>
          <w:bCs/>
          <w:sz w:val="22"/>
          <w:szCs w:val="22"/>
        </w:rPr>
      </w:pPr>
      <w:r w:rsidRPr="00A143DE">
        <w:rPr>
          <w:rFonts w:ascii="Arial Narrow" w:hAnsi="Arial Narrow"/>
          <w:sz w:val="22"/>
          <w:szCs w:val="22"/>
        </w:rPr>
        <w:lastRenderedPageBreak/>
        <w:t xml:space="preserve">Con base en las cifras arrojadas por el cuadro anterior, a continuación se comentan los resultados generales de las finanzas públicas del Gobierno del Estado de Nayarit tomando como referencia los principales Indicadores de Postura Fiscal determinados en dicho cuadro:  </w:t>
      </w:r>
    </w:p>
    <w:p w:rsidR="00B83815" w:rsidRPr="00992D26" w:rsidRDefault="00B83815" w:rsidP="00B83815">
      <w:pPr>
        <w:pStyle w:val="Sangradetextonormal"/>
        <w:ind w:left="709" w:firstLine="0"/>
        <w:jc w:val="left"/>
        <w:rPr>
          <w:rFonts w:ascii="Arial Narrow" w:hAnsi="Arial Narrow"/>
          <w:b/>
          <w:bCs/>
          <w:sz w:val="32"/>
          <w:szCs w:val="32"/>
        </w:rPr>
      </w:pPr>
    </w:p>
    <w:p w:rsidR="00B83815" w:rsidRPr="00DF2957" w:rsidRDefault="00B83815" w:rsidP="00B83815">
      <w:pPr>
        <w:pStyle w:val="Sangradetextonormal"/>
        <w:numPr>
          <w:ilvl w:val="0"/>
          <w:numId w:val="12"/>
        </w:numPr>
        <w:jc w:val="left"/>
        <w:rPr>
          <w:rFonts w:ascii="Arial Narrow" w:hAnsi="Arial Narrow"/>
          <w:b/>
          <w:bCs/>
          <w:szCs w:val="28"/>
        </w:rPr>
      </w:pPr>
      <w:r w:rsidRPr="00DF2957">
        <w:rPr>
          <w:rFonts w:ascii="Arial Narrow" w:hAnsi="Arial Narrow"/>
          <w:b/>
          <w:bCs/>
          <w:szCs w:val="28"/>
        </w:rPr>
        <w:t>Balance Presupuestario</w:t>
      </w:r>
    </w:p>
    <w:p w:rsidR="00B83815" w:rsidRPr="00992D26" w:rsidRDefault="00B83815" w:rsidP="00B83815">
      <w:pPr>
        <w:pStyle w:val="Sangradetextonormal"/>
        <w:ind w:left="709" w:firstLine="0"/>
        <w:jc w:val="left"/>
        <w:rPr>
          <w:rFonts w:ascii="Arial Narrow" w:hAnsi="Arial Narrow"/>
          <w:b/>
          <w:bCs/>
          <w:sz w:val="32"/>
          <w:szCs w:val="32"/>
        </w:rPr>
      </w:pPr>
    </w:p>
    <w:p w:rsidR="00B83815" w:rsidRPr="00DF2957" w:rsidRDefault="00B83815" w:rsidP="00B83815">
      <w:pPr>
        <w:pStyle w:val="Sangradetextonormal"/>
        <w:ind w:firstLine="708"/>
        <w:rPr>
          <w:rFonts w:ascii="Arial Narrow" w:hAnsi="Arial Narrow"/>
          <w:sz w:val="22"/>
          <w:szCs w:val="22"/>
        </w:rPr>
      </w:pPr>
      <w:r w:rsidRPr="00DF2957">
        <w:rPr>
          <w:rFonts w:ascii="Arial Narrow" w:hAnsi="Arial Narrow"/>
          <w:sz w:val="22"/>
          <w:szCs w:val="22"/>
        </w:rPr>
        <w:t>Este concepto se define como la diferencia entre los ingresos totales (corrientes y de capital)  incluidos en la Ley de Ingresos con excepción de los financiamientos y los gastos totales (corrientes y de capital) considerados en el Presupuesto de Egresos, con excepción de la amortización de la deuda.</w:t>
      </w:r>
    </w:p>
    <w:p w:rsidR="00B83815" w:rsidRPr="00DF2957" w:rsidRDefault="00B83815" w:rsidP="00B83815">
      <w:pPr>
        <w:pStyle w:val="Sangradetextonormal"/>
        <w:ind w:left="709" w:firstLine="0"/>
        <w:jc w:val="left"/>
        <w:rPr>
          <w:rFonts w:ascii="Arial Narrow" w:hAnsi="Arial Narrow"/>
          <w:b/>
          <w:bCs/>
          <w:sz w:val="22"/>
          <w:szCs w:val="22"/>
        </w:rPr>
      </w:pPr>
    </w:p>
    <w:p w:rsidR="00B83815" w:rsidRPr="00DF2957" w:rsidRDefault="00B83815" w:rsidP="00B83815">
      <w:pPr>
        <w:pStyle w:val="Sangradetextonormal"/>
        <w:rPr>
          <w:rFonts w:ascii="Arial Narrow" w:hAnsi="Arial Narrow"/>
          <w:sz w:val="22"/>
          <w:szCs w:val="22"/>
        </w:rPr>
      </w:pPr>
      <w:r w:rsidRPr="00DF2957">
        <w:rPr>
          <w:rFonts w:ascii="Arial Narrow" w:hAnsi="Arial Narrow"/>
          <w:sz w:val="22"/>
          <w:szCs w:val="22"/>
        </w:rPr>
        <w:t>En este caso, el Gobierno del Estado de Nayarit durante el Ej</w:t>
      </w:r>
      <w:r>
        <w:rPr>
          <w:rFonts w:ascii="Arial Narrow" w:hAnsi="Arial Narrow"/>
          <w:sz w:val="22"/>
          <w:szCs w:val="22"/>
        </w:rPr>
        <w:t>ercicio Fiscal 2015</w:t>
      </w:r>
      <w:r w:rsidRPr="00DF2957">
        <w:rPr>
          <w:rFonts w:ascii="Arial Narrow" w:hAnsi="Arial Narrow"/>
          <w:sz w:val="22"/>
          <w:szCs w:val="22"/>
        </w:rPr>
        <w:t xml:space="preserve"> presentó </w:t>
      </w:r>
      <w:r>
        <w:rPr>
          <w:rFonts w:ascii="Arial Narrow" w:hAnsi="Arial Narrow"/>
          <w:sz w:val="22"/>
          <w:szCs w:val="22"/>
        </w:rPr>
        <w:t>un superávit</w:t>
      </w:r>
      <w:r w:rsidRPr="00DF2957">
        <w:rPr>
          <w:rFonts w:ascii="Arial Narrow" w:hAnsi="Arial Narrow"/>
          <w:sz w:val="22"/>
          <w:szCs w:val="22"/>
        </w:rPr>
        <w:t xml:space="preserve"> por monto de $</w:t>
      </w:r>
      <w:r>
        <w:rPr>
          <w:rFonts w:ascii="Arial Narrow" w:hAnsi="Arial Narrow"/>
          <w:sz w:val="22"/>
          <w:szCs w:val="22"/>
        </w:rPr>
        <w:t xml:space="preserve"> 1</w:t>
      </w:r>
      <w:proofErr w:type="gramStart"/>
      <w:r>
        <w:rPr>
          <w:rFonts w:ascii="Arial Narrow" w:hAnsi="Arial Narrow"/>
          <w:sz w:val="22"/>
          <w:szCs w:val="22"/>
        </w:rPr>
        <w:t>,082,510,911.94</w:t>
      </w:r>
      <w:proofErr w:type="gramEnd"/>
      <w:r w:rsidRPr="00DF2957">
        <w:rPr>
          <w:rFonts w:ascii="Arial Narrow" w:hAnsi="Arial Narrow"/>
          <w:sz w:val="22"/>
          <w:szCs w:val="22"/>
        </w:rPr>
        <w:t xml:space="preserve"> (</w:t>
      </w:r>
      <w:r>
        <w:rPr>
          <w:rFonts w:ascii="Arial Narrow" w:hAnsi="Arial Narrow"/>
          <w:sz w:val="22"/>
          <w:szCs w:val="22"/>
        </w:rPr>
        <w:t>un mil ochenta y dos millones quinientos diez mil novecientos once pesos 94</w:t>
      </w:r>
      <w:r w:rsidRPr="00DF2957">
        <w:rPr>
          <w:rFonts w:ascii="Arial Narrow" w:hAnsi="Arial Narrow"/>
          <w:sz w:val="22"/>
          <w:szCs w:val="22"/>
        </w:rPr>
        <w:t>/100 m. n.) al comparar el gasto pagado con respecto a los ingresos recaudados en el período que se reporta, según se muestra en la tabla siguiente:</w:t>
      </w:r>
    </w:p>
    <w:p w:rsidR="00B83815" w:rsidRPr="00992D26" w:rsidRDefault="00B83815" w:rsidP="00B83815">
      <w:pPr>
        <w:pStyle w:val="Sangradetextonormal"/>
        <w:rPr>
          <w:rFonts w:ascii="Arial Narrow" w:hAnsi="Arial Narrow"/>
          <w:sz w:val="25"/>
        </w:rPr>
      </w:pPr>
    </w:p>
    <w:p w:rsidR="00B83815" w:rsidRPr="00992D26" w:rsidRDefault="00303B1A" w:rsidP="00B83815">
      <w:pPr>
        <w:pStyle w:val="Sangradetextonormal"/>
        <w:rPr>
          <w:rFonts w:ascii="Arial Narrow" w:hAnsi="Arial Narrow"/>
        </w:rPr>
      </w:pPr>
      <w:r>
        <w:rPr>
          <w:rFonts w:ascii="Arial Narrow" w:hAnsi="Arial Narrow"/>
          <w:noProof/>
        </w:rPr>
        <w:pict>
          <v:shape id="_x0000_s1081" type="#_x0000_t75" style="position:absolute;left:0;text-align:left;margin-left:21.35pt;margin-top:9.3pt;width:416.25pt;height:75.75pt;z-index:251719680;mso-position-horizontal-relative:text;mso-position-vertical-relative:text">
            <v:imagedata r:id="rId18" o:title=""/>
          </v:shape>
          <o:OLEObject Type="Embed" ProgID="Excel.Sheet.8" ShapeID="_x0000_s1081" DrawAspect="Content" ObjectID="_1521633389" r:id="rId19"/>
        </w:pict>
      </w: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B83815" w:rsidRPr="00DF2957" w:rsidRDefault="00B83815" w:rsidP="00B83815">
      <w:pPr>
        <w:pStyle w:val="Sangradetextonormal"/>
        <w:rPr>
          <w:rFonts w:ascii="Arial Narrow" w:hAnsi="Arial Narrow"/>
          <w:sz w:val="22"/>
          <w:szCs w:val="22"/>
        </w:rPr>
      </w:pPr>
      <w:r w:rsidRPr="00DF2957">
        <w:rPr>
          <w:rFonts w:ascii="Arial Narrow" w:hAnsi="Arial Narrow"/>
          <w:sz w:val="22"/>
          <w:szCs w:val="22"/>
        </w:rPr>
        <w:t>Las cifras relativas a los recursos obtenidos y erogaciones efectuadas</w:t>
      </w:r>
      <w:r>
        <w:rPr>
          <w:rFonts w:ascii="Arial Narrow" w:hAnsi="Arial Narrow"/>
          <w:sz w:val="22"/>
          <w:szCs w:val="22"/>
        </w:rPr>
        <w:t>,</w:t>
      </w:r>
      <w:r w:rsidRPr="00DF2957">
        <w:rPr>
          <w:rFonts w:ascii="Arial Narrow" w:hAnsi="Arial Narrow"/>
          <w:sz w:val="22"/>
          <w:szCs w:val="22"/>
        </w:rPr>
        <w:t xml:space="preserve"> se analizan de manera posterior en los apartados denominados Ingresos Presupuestarios y Gastos Presupuestarios.</w:t>
      </w:r>
    </w:p>
    <w:p w:rsidR="00B83815"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DF2957" w:rsidRDefault="00B83815" w:rsidP="00B83815">
      <w:pPr>
        <w:pStyle w:val="Sangradetextonormal"/>
        <w:numPr>
          <w:ilvl w:val="0"/>
          <w:numId w:val="12"/>
        </w:numPr>
        <w:jc w:val="left"/>
        <w:rPr>
          <w:rFonts w:ascii="Arial Narrow" w:hAnsi="Arial Narrow"/>
          <w:b/>
          <w:bCs/>
          <w:szCs w:val="28"/>
        </w:rPr>
      </w:pPr>
      <w:r w:rsidRPr="00DF2957">
        <w:rPr>
          <w:rFonts w:ascii="Arial Narrow" w:hAnsi="Arial Narrow"/>
          <w:b/>
          <w:bCs/>
          <w:szCs w:val="28"/>
        </w:rPr>
        <w:lastRenderedPageBreak/>
        <w:t xml:space="preserve">Balance Primario </w:t>
      </w:r>
    </w:p>
    <w:p w:rsidR="00B83815" w:rsidRPr="00992D26" w:rsidRDefault="00B83815" w:rsidP="00B83815">
      <w:pPr>
        <w:pStyle w:val="Sangradetextonormal"/>
        <w:spacing w:line="240" w:lineRule="auto"/>
        <w:jc w:val="left"/>
        <w:rPr>
          <w:rFonts w:ascii="Arial Narrow" w:hAnsi="Arial Narrow"/>
          <w:sz w:val="25"/>
        </w:rPr>
      </w:pPr>
    </w:p>
    <w:p w:rsidR="00B83815" w:rsidRPr="00992D26" w:rsidRDefault="00B83815" w:rsidP="00B83815">
      <w:pPr>
        <w:pStyle w:val="Sangradetextonormal"/>
        <w:spacing w:line="240" w:lineRule="auto"/>
        <w:jc w:val="left"/>
        <w:rPr>
          <w:rFonts w:ascii="Arial Narrow" w:hAnsi="Arial Narrow"/>
          <w:sz w:val="25"/>
        </w:rPr>
      </w:pPr>
    </w:p>
    <w:p w:rsidR="00B83815" w:rsidRPr="00DF2957" w:rsidRDefault="00B83815" w:rsidP="00B83815">
      <w:pPr>
        <w:pStyle w:val="Sangradetextonormal"/>
        <w:rPr>
          <w:rFonts w:ascii="Arial Narrow" w:hAnsi="Arial Narrow"/>
          <w:sz w:val="22"/>
          <w:szCs w:val="22"/>
        </w:rPr>
      </w:pPr>
      <w:r w:rsidRPr="00DF2957">
        <w:rPr>
          <w:rFonts w:ascii="Arial Narrow" w:hAnsi="Arial Narrow"/>
          <w:sz w:val="22"/>
          <w:szCs w:val="22"/>
        </w:rPr>
        <w:t>Este concepto se define como la diferencia entre los ingresos totales incluidos en la Ley de Ingresos con excepción de los financiamientos y los gastos totales de los entes públicos considerados en el Presupuesto de Egresos, excluyendo de estos últimos, las erogaciones asociadas al costo financiero y a la amortización de la deuda.</w:t>
      </w:r>
    </w:p>
    <w:p w:rsidR="00B83815" w:rsidRPr="00DF2957" w:rsidRDefault="00B83815" w:rsidP="00B83815">
      <w:pPr>
        <w:pStyle w:val="Sangradetextonormal"/>
        <w:spacing w:line="240" w:lineRule="exact"/>
        <w:rPr>
          <w:rFonts w:ascii="Arial Narrow" w:hAnsi="Arial Narrow"/>
          <w:sz w:val="22"/>
          <w:szCs w:val="22"/>
        </w:rPr>
      </w:pPr>
    </w:p>
    <w:p w:rsidR="00B83815" w:rsidRPr="00DF2957" w:rsidRDefault="00B83815" w:rsidP="00B83815">
      <w:pPr>
        <w:pStyle w:val="Sangradetextonormal"/>
        <w:spacing w:line="240" w:lineRule="exact"/>
        <w:rPr>
          <w:rFonts w:ascii="Arial Narrow" w:hAnsi="Arial Narrow"/>
          <w:sz w:val="22"/>
          <w:szCs w:val="22"/>
        </w:rPr>
      </w:pPr>
    </w:p>
    <w:p w:rsidR="00B83815" w:rsidRPr="00DF2957" w:rsidRDefault="00B83815" w:rsidP="00B83815">
      <w:pPr>
        <w:pStyle w:val="Sangradetextonormal"/>
        <w:rPr>
          <w:rFonts w:ascii="Arial Narrow" w:hAnsi="Arial Narrow"/>
          <w:sz w:val="22"/>
          <w:szCs w:val="22"/>
        </w:rPr>
      </w:pPr>
      <w:r w:rsidRPr="00DF2957">
        <w:rPr>
          <w:rFonts w:ascii="Arial Narrow" w:hAnsi="Arial Narrow"/>
          <w:sz w:val="22"/>
          <w:szCs w:val="22"/>
        </w:rPr>
        <w:t>El balance primario muestra que el Gobierno del Estado de Nayarit durante e</w:t>
      </w:r>
      <w:r>
        <w:rPr>
          <w:rFonts w:ascii="Arial Narrow" w:hAnsi="Arial Narrow"/>
          <w:sz w:val="22"/>
          <w:szCs w:val="22"/>
        </w:rPr>
        <w:t>l Ejercicio Fiscal 2015</w:t>
      </w:r>
      <w:r w:rsidRPr="00DF2957">
        <w:rPr>
          <w:rFonts w:ascii="Arial Narrow" w:hAnsi="Arial Narrow"/>
          <w:sz w:val="22"/>
          <w:szCs w:val="22"/>
        </w:rPr>
        <w:t xml:space="preserve"> incurrió en </w:t>
      </w:r>
      <w:r>
        <w:rPr>
          <w:rFonts w:ascii="Arial Narrow" w:hAnsi="Arial Narrow"/>
          <w:sz w:val="22"/>
          <w:szCs w:val="22"/>
        </w:rPr>
        <w:t>un superávit</w:t>
      </w:r>
      <w:r w:rsidRPr="00DF2957">
        <w:rPr>
          <w:rFonts w:ascii="Arial Narrow" w:hAnsi="Arial Narrow"/>
          <w:sz w:val="22"/>
          <w:szCs w:val="22"/>
        </w:rPr>
        <w:t xml:space="preserve"> por la cantidad de $ </w:t>
      </w:r>
      <w:r>
        <w:rPr>
          <w:rFonts w:ascii="Arial Narrow" w:hAnsi="Arial Narrow"/>
          <w:sz w:val="22"/>
          <w:szCs w:val="22"/>
        </w:rPr>
        <w:t>1,359,773,864.06</w:t>
      </w:r>
      <w:r w:rsidRPr="00DF2957">
        <w:rPr>
          <w:rFonts w:ascii="Arial Narrow" w:hAnsi="Arial Narrow"/>
          <w:sz w:val="22"/>
          <w:szCs w:val="22"/>
        </w:rPr>
        <w:t xml:space="preserve"> (</w:t>
      </w:r>
      <w:r>
        <w:rPr>
          <w:rFonts w:ascii="Arial Narrow" w:hAnsi="Arial Narrow"/>
          <w:sz w:val="22"/>
          <w:szCs w:val="22"/>
        </w:rPr>
        <w:t>un mil trescientos cincuenta y nueve millones setecientos setenta y tres mil ochocientos sesenta y cuatro pesos 06</w:t>
      </w:r>
      <w:r w:rsidRPr="00DF2957">
        <w:rPr>
          <w:rFonts w:ascii="Arial Narrow" w:hAnsi="Arial Narrow"/>
          <w:sz w:val="22"/>
          <w:szCs w:val="22"/>
        </w:rPr>
        <w:t>/100 m. n.).</w:t>
      </w:r>
    </w:p>
    <w:p w:rsidR="00B83815" w:rsidRPr="00DF2957" w:rsidRDefault="00B83815" w:rsidP="00B83815">
      <w:pPr>
        <w:pStyle w:val="Sangradetextonormal"/>
        <w:spacing w:line="240" w:lineRule="exact"/>
        <w:rPr>
          <w:rFonts w:ascii="Arial Narrow" w:hAnsi="Arial Narrow"/>
          <w:sz w:val="22"/>
          <w:szCs w:val="22"/>
        </w:rPr>
      </w:pPr>
    </w:p>
    <w:p w:rsidR="00B83815" w:rsidRPr="00DF2957" w:rsidRDefault="00B83815" w:rsidP="00B83815">
      <w:pPr>
        <w:pStyle w:val="Sangradetextonormal"/>
        <w:spacing w:line="240" w:lineRule="exact"/>
        <w:rPr>
          <w:rFonts w:ascii="Arial Narrow" w:hAnsi="Arial Narrow"/>
          <w:sz w:val="22"/>
          <w:szCs w:val="22"/>
        </w:rPr>
      </w:pPr>
    </w:p>
    <w:p w:rsidR="00B83815" w:rsidRPr="00DF2957" w:rsidRDefault="00B83815" w:rsidP="00B83815">
      <w:pPr>
        <w:pStyle w:val="Sangradetextonormal"/>
        <w:rPr>
          <w:rFonts w:ascii="Arial Narrow" w:hAnsi="Arial Narrow"/>
          <w:sz w:val="22"/>
          <w:szCs w:val="22"/>
        </w:rPr>
      </w:pPr>
      <w:r w:rsidRPr="00DF2957">
        <w:rPr>
          <w:rFonts w:ascii="Arial Narrow" w:hAnsi="Arial Narrow"/>
          <w:sz w:val="22"/>
          <w:szCs w:val="22"/>
        </w:rPr>
        <w:t>Cabe señalar que este indicador mide el excedente o faltante de recursos financieros en términos monetarios, y refleja el esfuerzo o relajamiento fiscal en un período determinado, al excluir el servicio de obligaciones adquiridas en el pasado, por lo que en el Ejercicio Fi</w:t>
      </w:r>
      <w:r>
        <w:rPr>
          <w:rFonts w:ascii="Arial Narrow" w:hAnsi="Arial Narrow"/>
          <w:sz w:val="22"/>
          <w:szCs w:val="22"/>
        </w:rPr>
        <w:t>scal 2015</w:t>
      </w:r>
      <w:r w:rsidRPr="00DF2957">
        <w:rPr>
          <w:rFonts w:ascii="Arial Narrow" w:hAnsi="Arial Narrow"/>
          <w:sz w:val="22"/>
          <w:szCs w:val="22"/>
        </w:rPr>
        <w:t xml:space="preserve"> se aprecia esta situación:</w:t>
      </w:r>
    </w:p>
    <w:p w:rsidR="00B83815" w:rsidRPr="00992D26" w:rsidRDefault="00B83815" w:rsidP="00B83815">
      <w:pPr>
        <w:pStyle w:val="Sangradetextonormal"/>
        <w:rPr>
          <w:rFonts w:ascii="Arial Narrow" w:hAnsi="Arial Narrow"/>
          <w:sz w:val="25"/>
        </w:rPr>
      </w:pPr>
    </w:p>
    <w:p w:rsidR="00B83815" w:rsidRPr="00992D26" w:rsidRDefault="00303B1A" w:rsidP="00B83815">
      <w:pPr>
        <w:pStyle w:val="Sangradetextonormal"/>
        <w:rPr>
          <w:rFonts w:ascii="Arial Narrow" w:hAnsi="Arial Narrow"/>
          <w:sz w:val="25"/>
        </w:rPr>
      </w:pPr>
      <w:r>
        <w:rPr>
          <w:rFonts w:ascii="Arial Narrow" w:hAnsi="Arial Narrow"/>
          <w:noProof/>
          <w:sz w:val="25"/>
        </w:rPr>
        <w:pict>
          <v:shape id="_x0000_s1090" type="#_x0000_t75" style="position:absolute;left:0;text-align:left;margin-left:53.6pt;margin-top:19.5pt;width:351pt;height:63pt;z-index:251731968;mso-position-horizontal-relative:text;mso-position-vertical-relative:text">
            <v:imagedata r:id="rId20" o:title=""/>
          </v:shape>
          <o:OLEObject Type="Embed" ProgID="Excel.Sheet.8" ShapeID="_x0000_s1090" DrawAspect="Content" ObjectID="_1521633390" r:id="rId21"/>
        </w:pict>
      </w: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szCs w:val="32"/>
        </w:rPr>
      </w:pPr>
    </w:p>
    <w:p w:rsidR="00B83815" w:rsidRPr="00992D26" w:rsidRDefault="00B83815" w:rsidP="00B83815">
      <w:pPr>
        <w:pStyle w:val="Sangradetextonormal"/>
        <w:rPr>
          <w:rFonts w:ascii="Arial Narrow" w:hAnsi="Arial Narrow"/>
          <w:sz w:val="25"/>
          <w:szCs w:val="32"/>
        </w:rPr>
      </w:pPr>
    </w:p>
    <w:p w:rsidR="00B83815" w:rsidRPr="00992D26" w:rsidRDefault="00B83815" w:rsidP="00B83815">
      <w:pPr>
        <w:pStyle w:val="Sangradetextonormal"/>
        <w:rPr>
          <w:rFonts w:ascii="Arial Narrow" w:hAnsi="Arial Narrow"/>
          <w:sz w:val="25"/>
          <w:szCs w:val="32"/>
        </w:rPr>
      </w:pPr>
    </w:p>
    <w:p w:rsidR="00B83815" w:rsidRPr="00DF2957" w:rsidRDefault="00A52383" w:rsidP="00B83815">
      <w:pPr>
        <w:pStyle w:val="Sangradetextonormal"/>
        <w:rPr>
          <w:rFonts w:ascii="Arial Narrow" w:hAnsi="Arial Narrow"/>
          <w:sz w:val="22"/>
          <w:szCs w:val="22"/>
        </w:rPr>
      </w:pPr>
      <w:r>
        <w:rPr>
          <w:rFonts w:ascii="Arial Narrow" w:hAnsi="Arial Narrow"/>
          <w:sz w:val="22"/>
          <w:szCs w:val="22"/>
        </w:rPr>
        <w:t>Cabe citar que en el año que se reporta únicamente se realizó pago de intereses correspondientes a los diferentes créditos suscritos por el Gobierno del Estado de Nayarit, mismos</w:t>
      </w:r>
      <w:r w:rsidR="00B83815" w:rsidRPr="00DF2957">
        <w:rPr>
          <w:rFonts w:ascii="Arial Narrow" w:hAnsi="Arial Narrow"/>
          <w:sz w:val="22"/>
          <w:szCs w:val="22"/>
        </w:rPr>
        <w:t xml:space="preserve"> que </w:t>
      </w:r>
      <w:r>
        <w:rPr>
          <w:rFonts w:ascii="Arial Narrow" w:hAnsi="Arial Narrow"/>
          <w:sz w:val="22"/>
          <w:szCs w:val="22"/>
        </w:rPr>
        <w:t xml:space="preserve">en el Ejercicio fiscal 2015 </w:t>
      </w:r>
      <w:r w:rsidR="00B83815" w:rsidRPr="00DF2957">
        <w:rPr>
          <w:rFonts w:ascii="Arial Narrow" w:hAnsi="Arial Narrow"/>
          <w:sz w:val="22"/>
          <w:szCs w:val="22"/>
        </w:rPr>
        <w:t>conforman el costo financiero de la deuda pública</w:t>
      </w:r>
      <w:r>
        <w:rPr>
          <w:rFonts w:ascii="Arial Narrow" w:hAnsi="Arial Narrow"/>
          <w:sz w:val="22"/>
          <w:szCs w:val="22"/>
        </w:rPr>
        <w:t>, los cuales</w:t>
      </w:r>
      <w:r w:rsidR="00B83815" w:rsidRPr="00DF2957">
        <w:rPr>
          <w:rFonts w:ascii="Arial Narrow" w:hAnsi="Arial Narrow"/>
          <w:sz w:val="22"/>
          <w:szCs w:val="22"/>
        </w:rPr>
        <w:t xml:space="preserve"> se desglosan con mayor amplitud en el apartado de Deuda Pública.</w:t>
      </w:r>
    </w:p>
    <w:p w:rsidR="00B83815" w:rsidRDefault="00B83815" w:rsidP="00B83815">
      <w:pPr>
        <w:pStyle w:val="Sangradetextonormal"/>
        <w:rPr>
          <w:rFonts w:ascii="Arial Narrow" w:hAnsi="Arial Narrow"/>
          <w:sz w:val="25"/>
          <w:szCs w:val="32"/>
        </w:rPr>
      </w:pPr>
    </w:p>
    <w:p w:rsidR="00B83815" w:rsidRPr="00DF2957" w:rsidRDefault="00B83815" w:rsidP="00B83815">
      <w:pPr>
        <w:pStyle w:val="Sangradetextonormal"/>
        <w:numPr>
          <w:ilvl w:val="0"/>
          <w:numId w:val="12"/>
        </w:numPr>
        <w:jc w:val="left"/>
        <w:rPr>
          <w:rFonts w:ascii="Arial Narrow" w:hAnsi="Arial Narrow"/>
          <w:b/>
          <w:bCs/>
          <w:szCs w:val="28"/>
        </w:rPr>
      </w:pPr>
      <w:r w:rsidRPr="00DF2957">
        <w:rPr>
          <w:rFonts w:ascii="Arial Narrow" w:hAnsi="Arial Narrow"/>
          <w:b/>
          <w:bCs/>
          <w:szCs w:val="28"/>
        </w:rPr>
        <w:lastRenderedPageBreak/>
        <w:t>Endeudamiento o Desendeudamiento</w:t>
      </w:r>
    </w:p>
    <w:p w:rsidR="00B83815" w:rsidRPr="00992D26" w:rsidRDefault="00B83815" w:rsidP="00B83815">
      <w:pPr>
        <w:pStyle w:val="Sangradetextonormal"/>
        <w:spacing w:line="240" w:lineRule="exact"/>
        <w:jc w:val="left"/>
        <w:rPr>
          <w:rFonts w:ascii="Arial Narrow" w:hAnsi="Arial Narrow"/>
          <w:sz w:val="25"/>
        </w:rPr>
      </w:pPr>
    </w:p>
    <w:p w:rsidR="00B83815" w:rsidRPr="00992D26" w:rsidRDefault="00B83815" w:rsidP="00B83815">
      <w:pPr>
        <w:pStyle w:val="Sangradetextonormal"/>
        <w:spacing w:line="240" w:lineRule="exact"/>
        <w:jc w:val="left"/>
        <w:rPr>
          <w:rFonts w:ascii="Arial Narrow" w:hAnsi="Arial Narrow"/>
          <w:sz w:val="25"/>
        </w:rPr>
      </w:pPr>
    </w:p>
    <w:p w:rsidR="00B83815" w:rsidRPr="00DF2957" w:rsidRDefault="00B83815" w:rsidP="00B83815">
      <w:pPr>
        <w:pStyle w:val="Sangradetextonormal"/>
        <w:rPr>
          <w:rFonts w:ascii="Arial Narrow" w:hAnsi="Arial Narrow"/>
          <w:sz w:val="22"/>
          <w:szCs w:val="22"/>
        </w:rPr>
      </w:pPr>
      <w:r w:rsidRPr="00DF2957">
        <w:rPr>
          <w:rFonts w:ascii="Arial Narrow" w:hAnsi="Arial Narrow"/>
          <w:sz w:val="22"/>
          <w:szCs w:val="22"/>
        </w:rPr>
        <w:t>Este concepto se define como la diferencia entre el uso del financiamiento y las amortizaciones efectuadas de las obligaciones constitutivas de deuda pública.</w:t>
      </w:r>
    </w:p>
    <w:p w:rsidR="00B83815" w:rsidRPr="00DF2957" w:rsidRDefault="00B83815" w:rsidP="00B83815">
      <w:pPr>
        <w:pStyle w:val="Sangradetextonormal"/>
        <w:spacing w:line="240" w:lineRule="exact"/>
        <w:jc w:val="left"/>
        <w:rPr>
          <w:rFonts w:ascii="Arial Narrow" w:hAnsi="Arial Narrow"/>
          <w:sz w:val="22"/>
          <w:szCs w:val="22"/>
        </w:rPr>
      </w:pPr>
    </w:p>
    <w:p w:rsidR="00B83815" w:rsidRPr="00DF2957" w:rsidRDefault="00B83815" w:rsidP="00B83815">
      <w:pPr>
        <w:pStyle w:val="Sangradetextonormal"/>
        <w:rPr>
          <w:rFonts w:ascii="Arial Narrow" w:hAnsi="Arial Narrow"/>
          <w:sz w:val="22"/>
          <w:szCs w:val="22"/>
        </w:rPr>
      </w:pPr>
      <w:r w:rsidRPr="00DF2957">
        <w:rPr>
          <w:rFonts w:ascii="Arial Narrow" w:hAnsi="Arial Narrow"/>
          <w:sz w:val="22"/>
          <w:szCs w:val="22"/>
        </w:rPr>
        <w:t>Al respecto, se informa</w:t>
      </w:r>
      <w:r>
        <w:rPr>
          <w:rFonts w:ascii="Arial Narrow" w:hAnsi="Arial Narrow"/>
          <w:sz w:val="22"/>
          <w:szCs w:val="22"/>
        </w:rPr>
        <w:t xml:space="preserve"> que en el Ejercicio Fiscal 2015</w:t>
      </w:r>
      <w:r w:rsidRPr="00DF2957">
        <w:rPr>
          <w:rFonts w:ascii="Arial Narrow" w:hAnsi="Arial Narrow"/>
          <w:sz w:val="22"/>
          <w:szCs w:val="22"/>
        </w:rPr>
        <w:t xml:space="preserve"> el Gobierno del Estado de Nayarit reporta un desendeudamiento net</w:t>
      </w:r>
      <w:r>
        <w:rPr>
          <w:rFonts w:ascii="Arial Narrow" w:hAnsi="Arial Narrow"/>
          <w:sz w:val="22"/>
          <w:szCs w:val="22"/>
        </w:rPr>
        <w:t>o por importe de $ 79,359,273.49</w:t>
      </w:r>
      <w:r w:rsidRPr="00DF2957">
        <w:rPr>
          <w:rFonts w:ascii="Arial Narrow" w:hAnsi="Arial Narrow"/>
          <w:sz w:val="22"/>
          <w:szCs w:val="22"/>
        </w:rPr>
        <w:t xml:space="preserve"> (setenta </w:t>
      </w:r>
      <w:r>
        <w:rPr>
          <w:rFonts w:ascii="Arial Narrow" w:hAnsi="Arial Narrow"/>
          <w:sz w:val="22"/>
          <w:szCs w:val="22"/>
        </w:rPr>
        <w:t>y nueve millones trescientos cincuenta y nueve mil doscientos setenta y tres pesos 4</w:t>
      </w:r>
      <w:r w:rsidRPr="00DF2957">
        <w:rPr>
          <w:rFonts w:ascii="Arial Narrow" w:hAnsi="Arial Narrow"/>
          <w:sz w:val="22"/>
          <w:szCs w:val="22"/>
        </w:rPr>
        <w:t>9/100 m. n.), mismo que se desglosa posteriormente en la sección en el que se analiza este indicador dentro del apartado denominado Deuda Pública.</w:t>
      </w:r>
    </w:p>
    <w:p w:rsidR="00B83815" w:rsidRDefault="00B83815" w:rsidP="00B83815">
      <w:pPr>
        <w:pStyle w:val="Sangradetextonormal"/>
        <w:spacing w:line="240" w:lineRule="exact"/>
        <w:jc w:val="left"/>
        <w:rPr>
          <w:rFonts w:ascii="Arial Narrow" w:hAnsi="Arial Narrow"/>
          <w:sz w:val="25"/>
        </w:rPr>
      </w:pPr>
    </w:p>
    <w:p w:rsidR="00B83815" w:rsidRPr="00992D26" w:rsidRDefault="00B83815" w:rsidP="00B83815">
      <w:pPr>
        <w:pStyle w:val="Sangradetextonormal"/>
        <w:spacing w:line="240" w:lineRule="exact"/>
        <w:jc w:val="left"/>
        <w:rPr>
          <w:rFonts w:ascii="Arial Narrow" w:hAnsi="Arial Narrow"/>
          <w:sz w:val="25"/>
        </w:rPr>
      </w:pPr>
    </w:p>
    <w:p w:rsidR="00B83815" w:rsidRPr="00DF2957" w:rsidRDefault="00B83815" w:rsidP="00B83815">
      <w:pPr>
        <w:pStyle w:val="Sangradetextonormal"/>
        <w:ind w:left="1068" w:firstLine="0"/>
        <w:jc w:val="center"/>
        <w:rPr>
          <w:rFonts w:ascii="Arial Narrow" w:hAnsi="Arial Narrow"/>
          <w:b/>
          <w:bCs/>
          <w:szCs w:val="28"/>
        </w:rPr>
      </w:pPr>
      <w:r w:rsidRPr="00DF2957">
        <w:rPr>
          <w:rFonts w:ascii="Arial Narrow" w:hAnsi="Arial Narrow"/>
          <w:b/>
          <w:bCs/>
          <w:szCs w:val="28"/>
        </w:rPr>
        <w:t>Resumen General</w:t>
      </w:r>
    </w:p>
    <w:p w:rsidR="00B83815" w:rsidRPr="00992D26" w:rsidRDefault="00B83815" w:rsidP="00B83815">
      <w:pPr>
        <w:pStyle w:val="Sangradetextonormal"/>
        <w:spacing w:line="240" w:lineRule="exact"/>
        <w:jc w:val="left"/>
        <w:rPr>
          <w:rFonts w:ascii="Arial Narrow" w:hAnsi="Arial Narrow"/>
          <w:sz w:val="25"/>
        </w:rPr>
      </w:pPr>
    </w:p>
    <w:p w:rsidR="00B83815" w:rsidRPr="00DF2957" w:rsidRDefault="00B83815" w:rsidP="00B83815">
      <w:pPr>
        <w:pStyle w:val="Sangradetextonormal"/>
        <w:ind w:firstLine="708"/>
        <w:rPr>
          <w:rFonts w:ascii="Arial Narrow" w:hAnsi="Arial Narrow"/>
          <w:sz w:val="22"/>
          <w:szCs w:val="22"/>
        </w:rPr>
      </w:pPr>
      <w:r w:rsidRPr="00DF2957">
        <w:rPr>
          <w:rFonts w:ascii="Arial Narrow" w:hAnsi="Arial Narrow"/>
          <w:sz w:val="22"/>
          <w:szCs w:val="22"/>
        </w:rPr>
        <w:t>En el siguiente cuadro se presenta el panorama general de las finanzas públicas estatales, partiendo de la comparación entre los ingresos y gastos presupuestarios totales, excluyendo posteriormente los importes relativos al endeudamiento neto, así como el pago de intereses y comisiones de la deuda, para obtener finalmente el Balance Primario del Sector Público Presupuestario de Nayarit</w:t>
      </w:r>
      <w:r>
        <w:rPr>
          <w:rFonts w:ascii="Arial Narrow" w:hAnsi="Arial Narrow"/>
          <w:sz w:val="22"/>
          <w:szCs w:val="22"/>
        </w:rPr>
        <w:t xml:space="preserve"> del Ejercicio Fiscal 2015</w:t>
      </w:r>
      <w:r w:rsidRPr="00DF2957">
        <w:rPr>
          <w:rFonts w:ascii="Arial Narrow" w:hAnsi="Arial Narrow"/>
          <w:sz w:val="22"/>
          <w:szCs w:val="22"/>
        </w:rPr>
        <w:t>.</w:t>
      </w:r>
    </w:p>
    <w:p w:rsidR="00B83815" w:rsidRPr="00992D26" w:rsidRDefault="00B83815" w:rsidP="00B83815">
      <w:pPr>
        <w:pStyle w:val="Sangradetextonormal"/>
        <w:rPr>
          <w:rFonts w:ascii="Arial Narrow" w:hAnsi="Arial Narrow"/>
          <w:sz w:val="25"/>
        </w:rPr>
      </w:pPr>
    </w:p>
    <w:p w:rsidR="00B83815" w:rsidRPr="00992D26" w:rsidRDefault="00303B1A" w:rsidP="00B83815">
      <w:pPr>
        <w:pStyle w:val="Sangradetextonormal"/>
        <w:rPr>
          <w:rFonts w:ascii="Arial Narrow" w:hAnsi="Arial Narrow"/>
          <w:sz w:val="25"/>
        </w:rPr>
      </w:pPr>
      <w:r>
        <w:rPr>
          <w:rFonts w:ascii="Arial Narrow" w:hAnsi="Arial Narrow"/>
          <w:noProof/>
          <w:sz w:val="25"/>
        </w:rPr>
        <w:pict>
          <v:shape id="_x0000_s1092" type="#_x0000_t75" style="position:absolute;left:0;text-align:left;margin-left:2.6pt;margin-top:11.25pt;width:449.25pt;height:162.75pt;z-index:251734016;mso-position-horizontal-relative:text;mso-position-vertical-relative:text">
            <v:imagedata r:id="rId22" o:title=""/>
          </v:shape>
          <o:OLEObject Type="Embed" ProgID="Excel.Sheet.8" ShapeID="_x0000_s1092" DrawAspect="Content" ObjectID="_1521633391" r:id="rId23"/>
        </w:pict>
      </w: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B83815" w:rsidRDefault="00B83815" w:rsidP="00B83815">
      <w:pPr>
        <w:pStyle w:val="Sangradetextonormal"/>
        <w:ind w:firstLine="0"/>
        <w:jc w:val="left"/>
        <w:rPr>
          <w:rFonts w:ascii="Arial Narrow" w:hAnsi="Arial Narrow"/>
          <w:b/>
          <w:bCs/>
          <w:sz w:val="32"/>
          <w:szCs w:val="32"/>
        </w:rPr>
      </w:pPr>
      <w:bookmarkStart w:id="4" w:name="_GoBack"/>
      <w:bookmarkEnd w:id="4"/>
    </w:p>
    <w:sectPr w:rsidR="00B83815" w:rsidSect="00303B1A">
      <w:headerReference w:type="even" r:id="rId24"/>
      <w:headerReference w:type="default" r:id="rId25"/>
      <w:footerReference w:type="even" r:id="rId26"/>
      <w:footerReference w:type="default" r:id="rId27"/>
      <w:headerReference w:type="first" r:id="rId28"/>
      <w:pgSz w:w="12240" w:h="15840" w:code="1"/>
      <w:pgMar w:top="3969" w:right="1259" w:bottom="851" w:left="1985" w:header="720" w:footer="748" w:gutter="0"/>
      <w:pgNumType w:start="6"/>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A89" w:rsidRDefault="00795A89">
      <w:r>
        <w:separator/>
      </w:r>
    </w:p>
  </w:endnote>
  <w:endnote w:type="continuationSeparator" w:id="0">
    <w:p w:rsidR="00795A89" w:rsidRDefault="0079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Abadi MT Condensed Light">
    <w:panose1 w:val="020B0306030101010103"/>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Condensed">
    <w:panose1 w:val="020B05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Gill Sans">
    <w:altName w:val="Century Gothic"/>
    <w:charset w:val="00"/>
    <w:family w:val="swiss"/>
    <w:pitch w:val="variable"/>
    <w:sig w:usb0="00000007" w:usb1="00000000" w:usb2="00000000" w:usb3="00000000" w:csb0="00000093" w:csb1="00000000"/>
  </w:font>
  <w:font w:name="Univers Light Condensed">
    <w:altName w:val="Arial Narrow"/>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B1A" w:rsidRDefault="00303B1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03B1A" w:rsidRDefault="00303B1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B1A" w:rsidRDefault="00303B1A">
    <w:pPr>
      <w:pStyle w:val="Piedepgina"/>
      <w:framePr w:wrap="around" w:vAnchor="text" w:hAnchor="margin" w:xAlign="center" w:y="1"/>
      <w:jc w:val="center"/>
      <w:rPr>
        <w:rStyle w:val="Nmerodepgina"/>
      </w:rPr>
    </w:pPr>
    <w:r>
      <w:rPr>
        <w:rStyle w:val="Nmerodepgina"/>
      </w:rPr>
      <w:fldChar w:fldCharType="begin"/>
    </w:r>
    <w:r>
      <w:rPr>
        <w:rStyle w:val="Nmerodepgina"/>
      </w:rPr>
      <w:instrText xml:space="preserve"> PAGE </w:instrText>
    </w:r>
    <w:r>
      <w:rPr>
        <w:rStyle w:val="Nmerodepgina"/>
      </w:rPr>
      <w:fldChar w:fldCharType="separate"/>
    </w:r>
    <w:r w:rsidR="005F78D9">
      <w:rPr>
        <w:rStyle w:val="Nmerodepgina"/>
        <w:noProof/>
      </w:rPr>
      <w:t>33</w:t>
    </w:r>
    <w:r>
      <w:rPr>
        <w:rStyle w:val="Nmerodepgina"/>
      </w:rPr>
      <w:fldChar w:fldCharType="end"/>
    </w:r>
  </w:p>
  <w:p w:rsidR="00303B1A" w:rsidRDefault="00303B1A">
    <w:pPr>
      <w:pStyle w:val="Piedepgina"/>
      <w:framePr w:wrap="around" w:vAnchor="text" w:hAnchor="margin" w:xAlign="center" w:y="1"/>
      <w:rPr>
        <w:rStyle w:val="Nmerodepgina"/>
      </w:rPr>
    </w:pPr>
  </w:p>
  <w:p w:rsidR="00303B1A" w:rsidRDefault="00303B1A">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A89" w:rsidRDefault="00795A89">
      <w:r>
        <w:separator/>
      </w:r>
    </w:p>
  </w:footnote>
  <w:footnote w:type="continuationSeparator" w:id="0">
    <w:p w:rsidR="00795A89" w:rsidRDefault="00795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B1A" w:rsidRDefault="00303B1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w:t>
    </w:r>
    <w:r>
      <w:rPr>
        <w:rStyle w:val="Nmerodepgina"/>
      </w:rPr>
      <w:fldChar w:fldCharType="end"/>
    </w:r>
  </w:p>
  <w:p w:rsidR="00303B1A" w:rsidRDefault="00303B1A">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B1A" w:rsidRDefault="00303B1A">
    <w:pPr>
      <w:pStyle w:val="Encabezado"/>
      <w:framePr w:wrap="around" w:vAnchor="text" w:hAnchor="margin" w:xAlign="right" w:y="1"/>
      <w:rPr>
        <w:rStyle w:val="Nmerodepgina"/>
      </w:rPr>
    </w:pPr>
  </w:p>
  <w:p w:rsidR="00303B1A" w:rsidRDefault="00303B1A">
    <w:pPr>
      <w:pStyle w:val="Encabezado"/>
      <w:framePr w:wrap="around" w:vAnchor="text" w:hAnchor="margin" w:xAlign="center" w:y="1"/>
      <w:ind w:right="360"/>
      <w:rPr>
        <w:rStyle w:val="Nmerodepgina"/>
      </w:rPr>
    </w:pPr>
  </w:p>
  <w:p w:rsidR="00303B1A" w:rsidRDefault="00303B1A">
    <w:pPr>
      <w:pStyle w:val="Encabezado"/>
    </w:pPr>
    <w:r>
      <w:rPr>
        <w:rFonts w:ascii="Gill Sans" w:hAnsi="Gill Sans"/>
        <w:noProof/>
        <w:lang w:val="es-MX" w:eastAsia="es-MX"/>
      </w:rPr>
      <w:drawing>
        <wp:anchor distT="0" distB="0" distL="114300" distR="114300" simplePos="0" relativeHeight="251669504" behindDoc="0" locked="0" layoutInCell="1" allowOverlap="1" wp14:anchorId="06490029" wp14:editId="3997DCA4">
          <wp:simplePos x="0" y="0"/>
          <wp:positionH relativeFrom="column">
            <wp:posOffset>-779145</wp:posOffset>
          </wp:positionH>
          <wp:positionV relativeFrom="paragraph">
            <wp:posOffset>-199936</wp:posOffset>
          </wp:positionV>
          <wp:extent cx="5428615" cy="1590675"/>
          <wp:effectExtent l="0" t="0" r="635"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8615"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3B1A" w:rsidRDefault="00303B1A">
    <w:pPr>
      <w:pStyle w:val="Encabezado"/>
    </w:pPr>
  </w:p>
  <w:p w:rsidR="00303B1A" w:rsidRDefault="00303B1A">
    <w:pPr>
      <w:pStyle w:val="Encabezado"/>
    </w:pPr>
  </w:p>
  <w:p w:rsidR="00303B1A" w:rsidRDefault="00303B1A">
    <w:pPr>
      <w:pStyle w:val="Encabezado"/>
    </w:pPr>
  </w:p>
  <w:p w:rsidR="00303B1A" w:rsidRDefault="00303B1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B1A" w:rsidRPr="00B260DD" w:rsidRDefault="00303B1A">
    <w:pPr>
      <w:pStyle w:val="Encabezado"/>
      <w:rPr>
        <w:rFonts w:ascii="Gill Sans" w:hAnsi="Gill Sans"/>
        <w:lang w:val="es-MX"/>
      </w:rPr>
    </w:pPr>
    <w:r>
      <w:rPr>
        <w:rFonts w:ascii="Gill Sans" w:hAnsi="Gill Sans"/>
        <w:noProof/>
        <w:lang w:val="es-MX" w:eastAsia="es-MX"/>
      </w:rPr>
      <w:drawing>
        <wp:anchor distT="0" distB="0" distL="114300" distR="114300" simplePos="0" relativeHeight="251667456" behindDoc="0" locked="0" layoutInCell="1" allowOverlap="1" wp14:anchorId="11F85ED1" wp14:editId="005A263C">
          <wp:simplePos x="0" y="0"/>
          <wp:positionH relativeFrom="column">
            <wp:posOffset>-810099</wp:posOffset>
          </wp:positionH>
          <wp:positionV relativeFrom="paragraph">
            <wp:posOffset>-154547</wp:posOffset>
          </wp:positionV>
          <wp:extent cx="5428615" cy="1590675"/>
          <wp:effectExtent l="0" t="0" r="63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8615"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3B1A" w:rsidRDefault="00303B1A">
    <w:pPr>
      <w:pStyle w:val="Encabezado"/>
      <w:rPr>
        <w:rFonts w:ascii="Gill Sans" w:hAnsi="Gill Sans"/>
        <w:lang w:val="es-MX"/>
      </w:rPr>
    </w:pPr>
  </w:p>
  <w:p w:rsidR="00303B1A" w:rsidRPr="00F077FB" w:rsidRDefault="00303B1A">
    <w:pPr>
      <w:pStyle w:val="Encabezado"/>
      <w:rPr>
        <w:rFonts w:ascii="Gill Sans" w:hAnsi="Gill Sans"/>
        <w:i/>
        <w:lang w:val="es-MX"/>
      </w:rPr>
    </w:pPr>
  </w:p>
  <w:p w:rsidR="00303B1A" w:rsidRDefault="00303B1A">
    <w:pPr>
      <w:pStyle w:val="Encabezado"/>
      <w:rPr>
        <w:rFonts w:ascii="Gill Sans" w:hAnsi="Gill Sans"/>
        <w:lang w:val="es-MX"/>
      </w:rPr>
    </w:pPr>
  </w:p>
  <w:p w:rsidR="00303B1A" w:rsidRDefault="00303B1A">
    <w:pPr>
      <w:pStyle w:val="Encabezado"/>
      <w:rPr>
        <w:rFonts w:ascii="Gill Sans" w:hAnsi="Gill Sans"/>
        <w:lang w:val="es-MX"/>
      </w:rPr>
    </w:pPr>
  </w:p>
  <w:p w:rsidR="00303B1A" w:rsidRDefault="00303B1A">
    <w:pPr>
      <w:pStyle w:val="Encabezado"/>
      <w:rPr>
        <w:rFonts w:ascii="Gill Sans" w:hAnsi="Gill Sans"/>
        <w:lang w:val="es-MX"/>
      </w:rPr>
    </w:pPr>
  </w:p>
  <w:p w:rsidR="00303B1A" w:rsidRDefault="00303B1A">
    <w:pPr>
      <w:pStyle w:val="Encabezado"/>
      <w:rPr>
        <w:rFonts w:ascii="Gill Sans" w:hAnsi="Gill Sans"/>
        <w:lang w:val="es-MX"/>
      </w:rPr>
    </w:pPr>
  </w:p>
  <w:p w:rsidR="00303B1A" w:rsidRDefault="00303B1A">
    <w:pPr>
      <w:pStyle w:val="Encabezado"/>
      <w:rPr>
        <w:rFonts w:ascii="Gill Sans" w:hAnsi="Gill Sans"/>
        <w:lang w:val="es-MX"/>
      </w:rPr>
    </w:pPr>
  </w:p>
  <w:p w:rsidR="00303B1A" w:rsidRDefault="00303B1A">
    <w:pPr>
      <w:pStyle w:val="Encabezado"/>
      <w:jc w:val="right"/>
      <w:rPr>
        <w:rFonts w:ascii="Univers Light Condensed" w:hAnsi="Univers Light Condensed"/>
        <w:sz w:val="24"/>
        <w:lang w:val="es-MX"/>
      </w:rPr>
    </w:pPr>
  </w:p>
  <w:p w:rsidR="00303B1A" w:rsidRDefault="00303B1A">
    <w:pPr>
      <w:pStyle w:val="Encabezado"/>
      <w:jc w:val="right"/>
      <w:rPr>
        <w:rFonts w:ascii="Univers Light Condensed" w:hAnsi="Univers Light Condensed"/>
        <w:sz w:val="24"/>
        <w:lang w:val="es-MX"/>
      </w:rPr>
    </w:pPr>
  </w:p>
  <w:p w:rsidR="00303B1A" w:rsidRDefault="00303B1A">
    <w:pPr>
      <w:pStyle w:val="Encabezado"/>
      <w:jc w:val="right"/>
      <w:rPr>
        <w:rFonts w:ascii="Univers Light Condensed" w:hAnsi="Univers Light Condensed"/>
        <w:sz w:val="24"/>
        <w:lang w:val="es-MX"/>
      </w:rPr>
    </w:pPr>
  </w:p>
  <w:p w:rsidR="00303B1A" w:rsidRDefault="00303B1A">
    <w:pPr>
      <w:pStyle w:val="Encabezado"/>
      <w:jc w:val="right"/>
      <w:rPr>
        <w:rFonts w:ascii="Univers Light Condensed" w:hAnsi="Univers Light Condensed"/>
        <w:sz w:val="24"/>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6BCA"/>
    <w:multiLevelType w:val="hybridMultilevel"/>
    <w:tmpl w:val="9EEA1F70"/>
    <w:lvl w:ilvl="0" w:tplc="579C817A">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nsid w:val="06EE108C"/>
    <w:multiLevelType w:val="hybridMultilevel"/>
    <w:tmpl w:val="05C2653E"/>
    <w:lvl w:ilvl="0" w:tplc="C1927F7A">
      <w:start w:val="1"/>
      <w:numFmt w:val="bullet"/>
      <w:lvlText w:val=""/>
      <w:lvlJc w:val="left"/>
      <w:pPr>
        <w:tabs>
          <w:tab w:val="num" w:pos="2137"/>
        </w:tabs>
        <w:ind w:left="2137"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
    <w:nsid w:val="16E15943"/>
    <w:multiLevelType w:val="hybridMultilevel"/>
    <w:tmpl w:val="4B78BBCA"/>
    <w:lvl w:ilvl="0" w:tplc="C1927F7A">
      <w:start w:val="1"/>
      <w:numFmt w:val="bullet"/>
      <w:lvlText w:val=""/>
      <w:lvlJc w:val="left"/>
      <w:pPr>
        <w:tabs>
          <w:tab w:val="num" w:pos="2137"/>
        </w:tabs>
        <w:ind w:left="2137"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
    <w:nsid w:val="184F4707"/>
    <w:multiLevelType w:val="hybridMultilevel"/>
    <w:tmpl w:val="2724EFEE"/>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AF021B3"/>
    <w:multiLevelType w:val="hybridMultilevel"/>
    <w:tmpl w:val="EAC2AFA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nsid w:val="1E7B79C8"/>
    <w:multiLevelType w:val="hybridMultilevel"/>
    <w:tmpl w:val="8E98E2DC"/>
    <w:lvl w:ilvl="0" w:tplc="1B0AD720">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nsid w:val="1FF41030"/>
    <w:multiLevelType w:val="hybridMultilevel"/>
    <w:tmpl w:val="545CDD9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23BF7DF1"/>
    <w:multiLevelType w:val="hybridMultilevel"/>
    <w:tmpl w:val="A594A0B8"/>
    <w:lvl w:ilvl="0" w:tplc="080A0001">
      <w:start w:val="1"/>
      <w:numFmt w:val="bullet"/>
      <w:lvlText w:val=""/>
      <w:lvlJc w:val="left"/>
      <w:pPr>
        <w:ind w:left="1596" w:hanging="360"/>
      </w:pPr>
      <w:rPr>
        <w:rFonts w:ascii="Symbol" w:hAnsi="Symbol" w:hint="default"/>
      </w:rPr>
    </w:lvl>
    <w:lvl w:ilvl="1" w:tplc="080A0003" w:tentative="1">
      <w:start w:val="1"/>
      <w:numFmt w:val="bullet"/>
      <w:lvlText w:val="o"/>
      <w:lvlJc w:val="left"/>
      <w:pPr>
        <w:ind w:left="2316" w:hanging="360"/>
      </w:pPr>
      <w:rPr>
        <w:rFonts w:ascii="Courier New" w:hAnsi="Courier New" w:cs="Courier New" w:hint="default"/>
      </w:rPr>
    </w:lvl>
    <w:lvl w:ilvl="2" w:tplc="080A0005" w:tentative="1">
      <w:start w:val="1"/>
      <w:numFmt w:val="bullet"/>
      <w:lvlText w:val=""/>
      <w:lvlJc w:val="left"/>
      <w:pPr>
        <w:ind w:left="3036" w:hanging="360"/>
      </w:pPr>
      <w:rPr>
        <w:rFonts w:ascii="Wingdings" w:hAnsi="Wingdings" w:hint="default"/>
      </w:rPr>
    </w:lvl>
    <w:lvl w:ilvl="3" w:tplc="080A0001" w:tentative="1">
      <w:start w:val="1"/>
      <w:numFmt w:val="bullet"/>
      <w:lvlText w:val=""/>
      <w:lvlJc w:val="left"/>
      <w:pPr>
        <w:ind w:left="3756" w:hanging="360"/>
      </w:pPr>
      <w:rPr>
        <w:rFonts w:ascii="Symbol" w:hAnsi="Symbol" w:hint="default"/>
      </w:rPr>
    </w:lvl>
    <w:lvl w:ilvl="4" w:tplc="080A0003" w:tentative="1">
      <w:start w:val="1"/>
      <w:numFmt w:val="bullet"/>
      <w:lvlText w:val="o"/>
      <w:lvlJc w:val="left"/>
      <w:pPr>
        <w:ind w:left="4476" w:hanging="360"/>
      </w:pPr>
      <w:rPr>
        <w:rFonts w:ascii="Courier New" w:hAnsi="Courier New" w:cs="Courier New" w:hint="default"/>
      </w:rPr>
    </w:lvl>
    <w:lvl w:ilvl="5" w:tplc="080A0005" w:tentative="1">
      <w:start w:val="1"/>
      <w:numFmt w:val="bullet"/>
      <w:lvlText w:val=""/>
      <w:lvlJc w:val="left"/>
      <w:pPr>
        <w:ind w:left="5196" w:hanging="360"/>
      </w:pPr>
      <w:rPr>
        <w:rFonts w:ascii="Wingdings" w:hAnsi="Wingdings" w:hint="default"/>
      </w:rPr>
    </w:lvl>
    <w:lvl w:ilvl="6" w:tplc="080A0001" w:tentative="1">
      <w:start w:val="1"/>
      <w:numFmt w:val="bullet"/>
      <w:lvlText w:val=""/>
      <w:lvlJc w:val="left"/>
      <w:pPr>
        <w:ind w:left="5916" w:hanging="360"/>
      </w:pPr>
      <w:rPr>
        <w:rFonts w:ascii="Symbol" w:hAnsi="Symbol" w:hint="default"/>
      </w:rPr>
    </w:lvl>
    <w:lvl w:ilvl="7" w:tplc="080A0003" w:tentative="1">
      <w:start w:val="1"/>
      <w:numFmt w:val="bullet"/>
      <w:lvlText w:val="o"/>
      <w:lvlJc w:val="left"/>
      <w:pPr>
        <w:ind w:left="6636" w:hanging="360"/>
      </w:pPr>
      <w:rPr>
        <w:rFonts w:ascii="Courier New" w:hAnsi="Courier New" w:cs="Courier New" w:hint="default"/>
      </w:rPr>
    </w:lvl>
    <w:lvl w:ilvl="8" w:tplc="080A0005" w:tentative="1">
      <w:start w:val="1"/>
      <w:numFmt w:val="bullet"/>
      <w:lvlText w:val=""/>
      <w:lvlJc w:val="left"/>
      <w:pPr>
        <w:ind w:left="7356" w:hanging="360"/>
      </w:pPr>
      <w:rPr>
        <w:rFonts w:ascii="Wingdings" w:hAnsi="Wingdings" w:hint="default"/>
      </w:rPr>
    </w:lvl>
  </w:abstractNum>
  <w:abstractNum w:abstractNumId="8">
    <w:nsid w:val="40C32AFC"/>
    <w:multiLevelType w:val="hybridMultilevel"/>
    <w:tmpl w:val="5D1C8988"/>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0E602B4"/>
    <w:multiLevelType w:val="hybridMultilevel"/>
    <w:tmpl w:val="B35EA3EC"/>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B1D68D7"/>
    <w:multiLevelType w:val="hybridMultilevel"/>
    <w:tmpl w:val="B4968B5E"/>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B233650"/>
    <w:multiLevelType w:val="hybridMultilevel"/>
    <w:tmpl w:val="9EEA1F70"/>
    <w:lvl w:ilvl="0" w:tplc="579C817A">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
    <w:nsid w:val="4DF32DA0"/>
    <w:multiLevelType w:val="hybridMultilevel"/>
    <w:tmpl w:val="B882FB5E"/>
    <w:lvl w:ilvl="0" w:tplc="0C0A001B">
      <w:start w:val="1"/>
      <w:numFmt w:val="lowerRoman"/>
      <w:lvlText w:val="%1."/>
      <w:lvlJc w:val="righ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nsid w:val="4E3E6C22"/>
    <w:multiLevelType w:val="hybridMultilevel"/>
    <w:tmpl w:val="4EC41848"/>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2F71F84"/>
    <w:multiLevelType w:val="hybridMultilevel"/>
    <w:tmpl w:val="A4502586"/>
    <w:lvl w:ilvl="0" w:tplc="C1927F7A">
      <w:start w:val="1"/>
      <w:numFmt w:val="bullet"/>
      <w:lvlText w:val=""/>
      <w:lvlJc w:val="left"/>
      <w:pPr>
        <w:tabs>
          <w:tab w:val="num" w:pos="2193"/>
        </w:tabs>
        <w:ind w:left="2193" w:hanging="360"/>
      </w:pPr>
      <w:rPr>
        <w:rFonts w:ascii="Symbol" w:hAnsi="Symbol" w:hint="default"/>
      </w:rPr>
    </w:lvl>
    <w:lvl w:ilvl="1" w:tplc="0C0A0003" w:tentative="1">
      <w:start w:val="1"/>
      <w:numFmt w:val="bullet"/>
      <w:lvlText w:val="o"/>
      <w:lvlJc w:val="left"/>
      <w:pPr>
        <w:tabs>
          <w:tab w:val="num" w:pos="2205"/>
        </w:tabs>
        <w:ind w:left="2205" w:hanging="360"/>
      </w:pPr>
      <w:rPr>
        <w:rFonts w:ascii="Courier New" w:hAnsi="Courier New" w:cs="Courier New" w:hint="default"/>
      </w:rPr>
    </w:lvl>
    <w:lvl w:ilvl="2" w:tplc="0C0A0005" w:tentative="1">
      <w:start w:val="1"/>
      <w:numFmt w:val="bullet"/>
      <w:lvlText w:val=""/>
      <w:lvlJc w:val="left"/>
      <w:pPr>
        <w:tabs>
          <w:tab w:val="num" w:pos="2925"/>
        </w:tabs>
        <w:ind w:left="2925" w:hanging="360"/>
      </w:pPr>
      <w:rPr>
        <w:rFonts w:ascii="Wingdings" w:hAnsi="Wingdings" w:hint="default"/>
      </w:rPr>
    </w:lvl>
    <w:lvl w:ilvl="3" w:tplc="0C0A0001" w:tentative="1">
      <w:start w:val="1"/>
      <w:numFmt w:val="bullet"/>
      <w:lvlText w:val=""/>
      <w:lvlJc w:val="left"/>
      <w:pPr>
        <w:tabs>
          <w:tab w:val="num" w:pos="3645"/>
        </w:tabs>
        <w:ind w:left="3645" w:hanging="360"/>
      </w:pPr>
      <w:rPr>
        <w:rFonts w:ascii="Symbol" w:hAnsi="Symbol" w:hint="default"/>
      </w:rPr>
    </w:lvl>
    <w:lvl w:ilvl="4" w:tplc="0C0A0003" w:tentative="1">
      <w:start w:val="1"/>
      <w:numFmt w:val="bullet"/>
      <w:lvlText w:val="o"/>
      <w:lvlJc w:val="left"/>
      <w:pPr>
        <w:tabs>
          <w:tab w:val="num" w:pos="4365"/>
        </w:tabs>
        <w:ind w:left="4365" w:hanging="360"/>
      </w:pPr>
      <w:rPr>
        <w:rFonts w:ascii="Courier New" w:hAnsi="Courier New" w:cs="Courier New" w:hint="default"/>
      </w:rPr>
    </w:lvl>
    <w:lvl w:ilvl="5" w:tplc="0C0A0005" w:tentative="1">
      <w:start w:val="1"/>
      <w:numFmt w:val="bullet"/>
      <w:lvlText w:val=""/>
      <w:lvlJc w:val="left"/>
      <w:pPr>
        <w:tabs>
          <w:tab w:val="num" w:pos="5085"/>
        </w:tabs>
        <w:ind w:left="5085" w:hanging="360"/>
      </w:pPr>
      <w:rPr>
        <w:rFonts w:ascii="Wingdings" w:hAnsi="Wingdings" w:hint="default"/>
      </w:rPr>
    </w:lvl>
    <w:lvl w:ilvl="6" w:tplc="0C0A0001" w:tentative="1">
      <w:start w:val="1"/>
      <w:numFmt w:val="bullet"/>
      <w:lvlText w:val=""/>
      <w:lvlJc w:val="left"/>
      <w:pPr>
        <w:tabs>
          <w:tab w:val="num" w:pos="5805"/>
        </w:tabs>
        <w:ind w:left="5805" w:hanging="360"/>
      </w:pPr>
      <w:rPr>
        <w:rFonts w:ascii="Symbol" w:hAnsi="Symbol" w:hint="default"/>
      </w:rPr>
    </w:lvl>
    <w:lvl w:ilvl="7" w:tplc="0C0A0003" w:tentative="1">
      <w:start w:val="1"/>
      <w:numFmt w:val="bullet"/>
      <w:lvlText w:val="o"/>
      <w:lvlJc w:val="left"/>
      <w:pPr>
        <w:tabs>
          <w:tab w:val="num" w:pos="6525"/>
        </w:tabs>
        <w:ind w:left="6525" w:hanging="360"/>
      </w:pPr>
      <w:rPr>
        <w:rFonts w:ascii="Courier New" w:hAnsi="Courier New" w:cs="Courier New" w:hint="default"/>
      </w:rPr>
    </w:lvl>
    <w:lvl w:ilvl="8" w:tplc="0C0A0005" w:tentative="1">
      <w:start w:val="1"/>
      <w:numFmt w:val="bullet"/>
      <w:lvlText w:val=""/>
      <w:lvlJc w:val="left"/>
      <w:pPr>
        <w:tabs>
          <w:tab w:val="num" w:pos="7245"/>
        </w:tabs>
        <w:ind w:left="7245" w:hanging="360"/>
      </w:pPr>
      <w:rPr>
        <w:rFonts w:ascii="Wingdings" w:hAnsi="Wingdings" w:hint="default"/>
      </w:rPr>
    </w:lvl>
  </w:abstractNum>
  <w:abstractNum w:abstractNumId="15">
    <w:nsid w:val="55014D2F"/>
    <w:multiLevelType w:val="hybridMultilevel"/>
    <w:tmpl w:val="87F06122"/>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8200FAA"/>
    <w:multiLevelType w:val="hybridMultilevel"/>
    <w:tmpl w:val="38F80304"/>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17">
    <w:nsid w:val="589E7D41"/>
    <w:multiLevelType w:val="hybridMultilevel"/>
    <w:tmpl w:val="23A4AAE6"/>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8">
    <w:nsid w:val="59322EDD"/>
    <w:multiLevelType w:val="hybridMultilevel"/>
    <w:tmpl w:val="04325622"/>
    <w:lvl w:ilvl="0" w:tplc="1ABA9A50">
      <w:start w:val="1"/>
      <w:numFmt w:val="upperRoman"/>
      <w:lvlText w:val="%1."/>
      <w:lvlJc w:val="left"/>
      <w:pPr>
        <w:tabs>
          <w:tab w:val="num" w:pos="1080"/>
        </w:tabs>
        <w:ind w:left="1080" w:hanging="720"/>
      </w:pPr>
      <w:rPr>
        <w:rFonts w:hint="default"/>
      </w:rPr>
    </w:lvl>
    <w:lvl w:ilvl="1" w:tplc="C1927F7A">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BB16C6F"/>
    <w:multiLevelType w:val="hybridMultilevel"/>
    <w:tmpl w:val="45C2B684"/>
    <w:lvl w:ilvl="0" w:tplc="C1927F7A">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0">
    <w:nsid w:val="5E7B58AF"/>
    <w:multiLevelType w:val="hybridMultilevel"/>
    <w:tmpl w:val="0CD0F97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1">
    <w:nsid w:val="619E37B2"/>
    <w:multiLevelType w:val="hybridMultilevel"/>
    <w:tmpl w:val="E5BA90FE"/>
    <w:lvl w:ilvl="0" w:tplc="C1927F7A">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64765795"/>
    <w:multiLevelType w:val="hybridMultilevel"/>
    <w:tmpl w:val="76B22ADA"/>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672D7B56"/>
    <w:multiLevelType w:val="hybridMultilevel"/>
    <w:tmpl w:val="DB80647C"/>
    <w:lvl w:ilvl="0" w:tplc="FFFFFFFF">
      <w:start w:val="1"/>
      <w:numFmt w:val="decimal"/>
      <w:lvlText w:val="%1."/>
      <w:lvlJc w:val="left"/>
      <w:pPr>
        <w:tabs>
          <w:tab w:val="num" w:pos="1080"/>
        </w:tabs>
        <w:ind w:left="1080" w:hanging="360"/>
      </w:pPr>
    </w:lvl>
    <w:lvl w:ilvl="1" w:tplc="1A5EEA04">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nsid w:val="6E521EFA"/>
    <w:multiLevelType w:val="hybridMultilevel"/>
    <w:tmpl w:val="9EEA1F70"/>
    <w:lvl w:ilvl="0" w:tplc="579C817A">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5">
    <w:nsid w:val="70E67528"/>
    <w:multiLevelType w:val="hybridMultilevel"/>
    <w:tmpl w:val="A91292B6"/>
    <w:lvl w:ilvl="0" w:tplc="62F49B8A">
      <w:start w:val="1"/>
      <w:numFmt w:val="upperRoman"/>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79F325F9"/>
    <w:multiLevelType w:val="hybridMultilevel"/>
    <w:tmpl w:val="0660F34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6"/>
  </w:num>
  <w:num w:numId="2">
    <w:abstractNumId w:val="2"/>
  </w:num>
  <w:num w:numId="3">
    <w:abstractNumId w:val="14"/>
  </w:num>
  <w:num w:numId="4">
    <w:abstractNumId w:val="1"/>
  </w:num>
  <w:num w:numId="5">
    <w:abstractNumId w:val="19"/>
  </w:num>
  <w:num w:numId="6">
    <w:abstractNumId w:val="17"/>
  </w:num>
  <w:num w:numId="7">
    <w:abstractNumId w:val="22"/>
  </w:num>
  <w:num w:numId="8">
    <w:abstractNumId w:val="8"/>
  </w:num>
  <w:num w:numId="9">
    <w:abstractNumId w:val="13"/>
  </w:num>
  <w:num w:numId="10">
    <w:abstractNumId w:val="3"/>
  </w:num>
  <w:num w:numId="11">
    <w:abstractNumId w:val="15"/>
  </w:num>
  <w:num w:numId="12">
    <w:abstractNumId w:val="9"/>
  </w:num>
  <w:num w:numId="13">
    <w:abstractNumId w:val="18"/>
  </w:num>
  <w:num w:numId="14">
    <w:abstractNumId w:val="23"/>
  </w:num>
  <w:num w:numId="15">
    <w:abstractNumId w:val="25"/>
  </w:num>
  <w:num w:numId="16">
    <w:abstractNumId w:val="10"/>
  </w:num>
  <w:num w:numId="17">
    <w:abstractNumId w:val="21"/>
  </w:num>
  <w:num w:numId="18">
    <w:abstractNumId w:val="12"/>
  </w:num>
  <w:num w:numId="19">
    <w:abstractNumId w:val="26"/>
  </w:num>
  <w:num w:numId="20">
    <w:abstractNumId w:val="16"/>
  </w:num>
  <w:num w:numId="21">
    <w:abstractNumId w:val="24"/>
  </w:num>
  <w:num w:numId="22">
    <w:abstractNumId w:val="11"/>
  </w:num>
  <w:num w:numId="23">
    <w:abstractNumId w:val="5"/>
  </w:num>
  <w:num w:numId="24">
    <w:abstractNumId w:val="4"/>
  </w:num>
  <w:num w:numId="25">
    <w:abstractNumId w:val="0"/>
  </w:num>
  <w:num w:numId="26">
    <w:abstractNumId w:val="20"/>
  </w:num>
  <w:num w:numId="27">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s-ES" w:vendorID="9" w:dllVersion="512" w:checkStyle="1"/>
  <w:activeWritingStyle w:appName="MSWord" w:lang="es-ES_tradnl"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A3A"/>
    <w:rsid w:val="0000034B"/>
    <w:rsid w:val="000010EB"/>
    <w:rsid w:val="00001295"/>
    <w:rsid w:val="00001AD9"/>
    <w:rsid w:val="0000228A"/>
    <w:rsid w:val="00002309"/>
    <w:rsid w:val="0000235B"/>
    <w:rsid w:val="000023A9"/>
    <w:rsid w:val="00002949"/>
    <w:rsid w:val="00003709"/>
    <w:rsid w:val="00003E78"/>
    <w:rsid w:val="000043D0"/>
    <w:rsid w:val="000043F9"/>
    <w:rsid w:val="00004D91"/>
    <w:rsid w:val="00004E9B"/>
    <w:rsid w:val="00005A26"/>
    <w:rsid w:val="000064E6"/>
    <w:rsid w:val="000067A0"/>
    <w:rsid w:val="0001148D"/>
    <w:rsid w:val="000119EC"/>
    <w:rsid w:val="0001204A"/>
    <w:rsid w:val="000127AE"/>
    <w:rsid w:val="00012DE0"/>
    <w:rsid w:val="00013307"/>
    <w:rsid w:val="00013986"/>
    <w:rsid w:val="0001433D"/>
    <w:rsid w:val="00014397"/>
    <w:rsid w:val="00014464"/>
    <w:rsid w:val="00017319"/>
    <w:rsid w:val="00017698"/>
    <w:rsid w:val="00017E66"/>
    <w:rsid w:val="00020534"/>
    <w:rsid w:val="00020587"/>
    <w:rsid w:val="000212BA"/>
    <w:rsid w:val="00022424"/>
    <w:rsid w:val="000225C7"/>
    <w:rsid w:val="00024AA1"/>
    <w:rsid w:val="00024B48"/>
    <w:rsid w:val="00025106"/>
    <w:rsid w:val="00025641"/>
    <w:rsid w:val="00025C91"/>
    <w:rsid w:val="00026883"/>
    <w:rsid w:val="000272D1"/>
    <w:rsid w:val="0002751E"/>
    <w:rsid w:val="00027684"/>
    <w:rsid w:val="00027BC1"/>
    <w:rsid w:val="00027BDD"/>
    <w:rsid w:val="00027D4E"/>
    <w:rsid w:val="00027E6B"/>
    <w:rsid w:val="00030468"/>
    <w:rsid w:val="00030C8F"/>
    <w:rsid w:val="00031473"/>
    <w:rsid w:val="0003184C"/>
    <w:rsid w:val="00032A18"/>
    <w:rsid w:val="00032DC5"/>
    <w:rsid w:val="00032E5B"/>
    <w:rsid w:val="00033753"/>
    <w:rsid w:val="00033D64"/>
    <w:rsid w:val="000341B6"/>
    <w:rsid w:val="0003441F"/>
    <w:rsid w:val="00034609"/>
    <w:rsid w:val="00035197"/>
    <w:rsid w:val="000364FB"/>
    <w:rsid w:val="000373CF"/>
    <w:rsid w:val="000379A8"/>
    <w:rsid w:val="00037B70"/>
    <w:rsid w:val="000404E9"/>
    <w:rsid w:val="00040CC3"/>
    <w:rsid w:val="00040CFB"/>
    <w:rsid w:val="000411C4"/>
    <w:rsid w:val="000412C7"/>
    <w:rsid w:val="00042489"/>
    <w:rsid w:val="00042DDF"/>
    <w:rsid w:val="00042E73"/>
    <w:rsid w:val="000433A3"/>
    <w:rsid w:val="00043AFB"/>
    <w:rsid w:val="00043C2F"/>
    <w:rsid w:val="0004465A"/>
    <w:rsid w:val="000448B3"/>
    <w:rsid w:val="00044EE0"/>
    <w:rsid w:val="00046892"/>
    <w:rsid w:val="00046B35"/>
    <w:rsid w:val="00047396"/>
    <w:rsid w:val="00050E4F"/>
    <w:rsid w:val="0005135E"/>
    <w:rsid w:val="000515CB"/>
    <w:rsid w:val="00051649"/>
    <w:rsid w:val="00051901"/>
    <w:rsid w:val="00051D6D"/>
    <w:rsid w:val="000520C5"/>
    <w:rsid w:val="00052101"/>
    <w:rsid w:val="00052236"/>
    <w:rsid w:val="000523BC"/>
    <w:rsid w:val="00053209"/>
    <w:rsid w:val="0005331A"/>
    <w:rsid w:val="0005332B"/>
    <w:rsid w:val="0005366C"/>
    <w:rsid w:val="000537B9"/>
    <w:rsid w:val="00053B83"/>
    <w:rsid w:val="00054E38"/>
    <w:rsid w:val="00055104"/>
    <w:rsid w:val="0005574D"/>
    <w:rsid w:val="000557CF"/>
    <w:rsid w:val="00055F74"/>
    <w:rsid w:val="000560A9"/>
    <w:rsid w:val="00056C79"/>
    <w:rsid w:val="00056D25"/>
    <w:rsid w:val="000577A8"/>
    <w:rsid w:val="00057D14"/>
    <w:rsid w:val="00060CA4"/>
    <w:rsid w:val="00060F74"/>
    <w:rsid w:val="00062464"/>
    <w:rsid w:val="000631CF"/>
    <w:rsid w:val="00063A1B"/>
    <w:rsid w:val="00063CD2"/>
    <w:rsid w:val="000647BA"/>
    <w:rsid w:val="00065017"/>
    <w:rsid w:val="000651F1"/>
    <w:rsid w:val="000653AD"/>
    <w:rsid w:val="00065473"/>
    <w:rsid w:val="00066822"/>
    <w:rsid w:val="00067442"/>
    <w:rsid w:val="00070318"/>
    <w:rsid w:val="0007066D"/>
    <w:rsid w:val="00070D22"/>
    <w:rsid w:val="00071611"/>
    <w:rsid w:val="00071799"/>
    <w:rsid w:val="00071F92"/>
    <w:rsid w:val="0007233A"/>
    <w:rsid w:val="000727F1"/>
    <w:rsid w:val="000729F5"/>
    <w:rsid w:val="00072D20"/>
    <w:rsid w:val="00073062"/>
    <w:rsid w:val="000748E5"/>
    <w:rsid w:val="00074F7F"/>
    <w:rsid w:val="00075596"/>
    <w:rsid w:val="00075E40"/>
    <w:rsid w:val="00077D59"/>
    <w:rsid w:val="00080B1C"/>
    <w:rsid w:val="00080FE2"/>
    <w:rsid w:val="000812E8"/>
    <w:rsid w:val="0008188B"/>
    <w:rsid w:val="0008338E"/>
    <w:rsid w:val="000842E8"/>
    <w:rsid w:val="0008455B"/>
    <w:rsid w:val="000849DD"/>
    <w:rsid w:val="00085F3D"/>
    <w:rsid w:val="000862EF"/>
    <w:rsid w:val="00086AEC"/>
    <w:rsid w:val="00086EBE"/>
    <w:rsid w:val="0008740C"/>
    <w:rsid w:val="000874C5"/>
    <w:rsid w:val="00087F4A"/>
    <w:rsid w:val="000903C7"/>
    <w:rsid w:val="0009054C"/>
    <w:rsid w:val="00090595"/>
    <w:rsid w:val="000907E7"/>
    <w:rsid w:val="00090AE7"/>
    <w:rsid w:val="00090F95"/>
    <w:rsid w:val="00091BF1"/>
    <w:rsid w:val="00091EDA"/>
    <w:rsid w:val="000923CC"/>
    <w:rsid w:val="00092A01"/>
    <w:rsid w:val="00092AFC"/>
    <w:rsid w:val="00092BEF"/>
    <w:rsid w:val="0009314A"/>
    <w:rsid w:val="0009336A"/>
    <w:rsid w:val="00093CD1"/>
    <w:rsid w:val="0009498A"/>
    <w:rsid w:val="00094C6C"/>
    <w:rsid w:val="00095B0A"/>
    <w:rsid w:val="00096055"/>
    <w:rsid w:val="000960E1"/>
    <w:rsid w:val="0009710F"/>
    <w:rsid w:val="000977F7"/>
    <w:rsid w:val="00097952"/>
    <w:rsid w:val="000A0B56"/>
    <w:rsid w:val="000A1217"/>
    <w:rsid w:val="000A16F2"/>
    <w:rsid w:val="000A1E7C"/>
    <w:rsid w:val="000A1F9A"/>
    <w:rsid w:val="000A218F"/>
    <w:rsid w:val="000A2769"/>
    <w:rsid w:val="000A31A4"/>
    <w:rsid w:val="000A3299"/>
    <w:rsid w:val="000A377C"/>
    <w:rsid w:val="000A38B2"/>
    <w:rsid w:val="000A3995"/>
    <w:rsid w:val="000A3B69"/>
    <w:rsid w:val="000A416D"/>
    <w:rsid w:val="000A6553"/>
    <w:rsid w:val="000A6CF9"/>
    <w:rsid w:val="000A74F5"/>
    <w:rsid w:val="000A7BAE"/>
    <w:rsid w:val="000A7FBF"/>
    <w:rsid w:val="000B02FE"/>
    <w:rsid w:val="000B09B3"/>
    <w:rsid w:val="000B0A38"/>
    <w:rsid w:val="000B0B54"/>
    <w:rsid w:val="000B0EDD"/>
    <w:rsid w:val="000B1EB7"/>
    <w:rsid w:val="000B1EBD"/>
    <w:rsid w:val="000B253D"/>
    <w:rsid w:val="000B2A77"/>
    <w:rsid w:val="000B2D84"/>
    <w:rsid w:val="000B2E20"/>
    <w:rsid w:val="000B30FE"/>
    <w:rsid w:val="000B3451"/>
    <w:rsid w:val="000B3944"/>
    <w:rsid w:val="000B466B"/>
    <w:rsid w:val="000B47A3"/>
    <w:rsid w:val="000B55F0"/>
    <w:rsid w:val="000B56FB"/>
    <w:rsid w:val="000B5848"/>
    <w:rsid w:val="000B5BA5"/>
    <w:rsid w:val="000B5C99"/>
    <w:rsid w:val="000B6DCC"/>
    <w:rsid w:val="000B6FE2"/>
    <w:rsid w:val="000B70B5"/>
    <w:rsid w:val="000B75C3"/>
    <w:rsid w:val="000B7F4D"/>
    <w:rsid w:val="000C03CD"/>
    <w:rsid w:val="000C0E90"/>
    <w:rsid w:val="000C0FDC"/>
    <w:rsid w:val="000C1204"/>
    <w:rsid w:val="000C1212"/>
    <w:rsid w:val="000C1678"/>
    <w:rsid w:val="000C1968"/>
    <w:rsid w:val="000C1D52"/>
    <w:rsid w:val="000C2238"/>
    <w:rsid w:val="000C3DE7"/>
    <w:rsid w:val="000C4318"/>
    <w:rsid w:val="000C47AD"/>
    <w:rsid w:val="000C59B2"/>
    <w:rsid w:val="000C5A26"/>
    <w:rsid w:val="000C617F"/>
    <w:rsid w:val="000C623F"/>
    <w:rsid w:val="000C685C"/>
    <w:rsid w:val="000C7445"/>
    <w:rsid w:val="000C74F7"/>
    <w:rsid w:val="000C7763"/>
    <w:rsid w:val="000C78D4"/>
    <w:rsid w:val="000C7BB9"/>
    <w:rsid w:val="000C7C71"/>
    <w:rsid w:val="000D013F"/>
    <w:rsid w:val="000D0831"/>
    <w:rsid w:val="000D091B"/>
    <w:rsid w:val="000D1A5E"/>
    <w:rsid w:val="000D2493"/>
    <w:rsid w:val="000D2A1E"/>
    <w:rsid w:val="000D2E4B"/>
    <w:rsid w:val="000D4825"/>
    <w:rsid w:val="000D4BF7"/>
    <w:rsid w:val="000D4EE0"/>
    <w:rsid w:val="000D5D51"/>
    <w:rsid w:val="000D5D6F"/>
    <w:rsid w:val="000D5E32"/>
    <w:rsid w:val="000D618E"/>
    <w:rsid w:val="000D6782"/>
    <w:rsid w:val="000D6FAF"/>
    <w:rsid w:val="000E08B6"/>
    <w:rsid w:val="000E13BC"/>
    <w:rsid w:val="000E16EE"/>
    <w:rsid w:val="000E1BC4"/>
    <w:rsid w:val="000E1EA2"/>
    <w:rsid w:val="000E245F"/>
    <w:rsid w:val="000E2832"/>
    <w:rsid w:val="000E2A22"/>
    <w:rsid w:val="000E3269"/>
    <w:rsid w:val="000E36ED"/>
    <w:rsid w:val="000E3868"/>
    <w:rsid w:val="000E3CD1"/>
    <w:rsid w:val="000E4211"/>
    <w:rsid w:val="000E4471"/>
    <w:rsid w:val="000E4C93"/>
    <w:rsid w:val="000E5370"/>
    <w:rsid w:val="000E5CA6"/>
    <w:rsid w:val="000E6EE0"/>
    <w:rsid w:val="000E77FE"/>
    <w:rsid w:val="000E7DBA"/>
    <w:rsid w:val="000E7F5C"/>
    <w:rsid w:val="000F04C1"/>
    <w:rsid w:val="000F12E9"/>
    <w:rsid w:val="000F1FC8"/>
    <w:rsid w:val="000F2066"/>
    <w:rsid w:val="000F2532"/>
    <w:rsid w:val="000F2D9B"/>
    <w:rsid w:val="000F316E"/>
    <w:rsid w:val="000F3B33"/>
    <w:rsid w:val="000F3BB0"/>
    <w:rsid w:val="000F3D8D"/>
    <w:rsid w:val="000F41A8"/>
    <w:rsid w:val="000F4456"/>
    <w:rsid w:val="000F4462"/>
    <w:rsid w:val="000F52DE"/>
    <w:rsid w:val="000F541C"/>
    <w:rsid w:val="000F56EE"/>
    <w:rsid w:val="000F6023"/>
    <w:rsid w:val="000F65CE"/>
    <w:rsid w:val="000F6ED3"/>
    <w:rsid w:val="000F7337"/>
    <w:rsid w:val="000F753F"/>
    <w:rsid w:val="000F77CD"/>
    <w:rsid w:val="000F7D85"/>
    <w:rsid w:val="000F7E68"/>
    <w:rsid w:val="0010044D"/>
    <w:rsid w:val="00100739"/>
    <w:rsid w:val="00100DEA"/>
    <w:rsid w:val="0010236D"/>
    <w:rsid w:val="0010251F"/>
    <w:rsid w:val="0010269C"/>
    <w:rsid w:val="001027C5"/>
    <w:rsid w:val="001030D9"/>
    <w:rsid w:val="00103AD7"/>
    <w:rsid w:val="00104646"/>
    <w:rsid w:val="00105601"/>
    <w:rsid w:val="00105D7C"/>
    <w:rsid w:val="00105E73"/>
    <w:rsid w:val="001066AF"/>
    <w:rsid w:val="0010684C"/>
    <w:rsid w:val="00106A55"/>
    <w:rsid w:val="00106A9A"/>
    <w:rsid w:val="0010701E"/>
    <w:rsid w:val="00107183"/>
    <w:rsid w:val="0010743F"/>
    <w:rsid w:val="001076A9"/>
    <w:rsid w:val="00110610"/>
    <w:rsid w:val="001119C4"/>
    <w:rsid w:val="00111B70"/>
    <w:rsid w:val="00112AE8"/>
    <w:rsid w:val="00113281"/>
    <w:rsid w:val="00113707"/>
    <w:rsid w:val="001137E2"/>
    <w:rsid w:val="001138C0"/>
    <w:rsid w:val="00113B27"/>
    <w:rsid w:val="00114881"/>
    <w:rsid w:val="00114B1B"/>
    <w:rsid w:val="00114FBC"/>
    <w:rsid w:val="00115A97"/>
    <w:rsid w:val="00116242"/>
    <w:rsid w:val="0011678E"/>
    <w:rsid w:val="0011722F"/>
    <w:rsid w:val="001172CF"/>
    <w:rsid w:val="001176EA"/>
    <w:rsid w:val="00120370"/>
    <w:rsid w:val="00120D0E"/>
    <w:rsid w:val="00121183"/>
    <w:rsid w:val="001217DE"/>
    <w:rsid w:val="00121904"/>
    <w:rsid w:val="001221AD"/>
    <w:rsid w:val="001233E8"/>
    <w:rsid w:val="001237D2"/>
    <w:rsid w:val="00124240"/>
    <w:rsid w:val="00124A70"/>
    <w:rsid w:val="00124AF8"/>
    <w:rsid w:val="0012550C"/>
    <w:rsid w:val="0012581A"/>
    <w:rsid w:val="001258BC"/>
    <w:rsid w:val="001266D3"/>
    <w:rsid w:val="0012672C"/>
    <w:rsid w:val="001267CD"/>
    <w:rsid w:val="00126DAD"/>
    <w:rsid w:val="00126FFA"/>
    <w:rsid w:val="00127166"/>
    <w:rsid w:val="00127480"/>
    <w:rsid w:val="001275DE"/>
    <w:rsid w:val="00127752"/>
    <w:rsid w:val="00127864"/>
    <w:rsid w:val="00130481"/>
    <w:rsid w:val="00130EB1"/>
    <w:rsid w:val="0013103A"/>
    <w:rsid w:val="00131777"/>
    <w:rsid w:val="00131B6B"/>
    <w:rsid w:val="00132325"/>
    <w:rsid w:val="00132E88"/>
    <w:rsid w:val="00133DC4"/>
    <w:rsid w:val="0013491C"/>
    <w:rsid w:val="00135A81"/>
    <w:rsid w:val="00135AA6"/>
    <w:rsid w:val="00135F0A"/>
    <w:rsid w:val="00136D6D"/>
    <w:rsid w:val="0014092F"/>
    <w:rsid w:val="00141DAA"/>
    <w:rsid w:val="00141EE5"/>
    <w:rsid w:val="00141EEA"/>
    <w:rsid w:val="0014201C"/>
    <w:rsid w:val="00142961"/>
    <w:rsid w:val="00143454"/>
    <w:rsid w:val="00143679"/>
    <w:rsid w:val="001439B9"/>
    <w:rsid w:val="001443BA"/>
    <w:rsid w:val="001445B1"/>
    <w:rsid w:val="001449B2"/>
    <w:rsid w:val="00145491"/>
    <w:rsid w:val="001457E2"/>
    <w:rsid w:val="00145A49"/>
    <w:rsid w:val="00146D01"/>
    <w:rsid w:val="00146E2C"/>
    <w:rsid w:val="0014748A"/>
    <w:rsid w:val="001476A0"/>
    <w:rsid w:val="00147787"/>
    <w:rsid w:val="00150AE3"/>
    <w:rsid w:val="00150BED"/>
    <w:rsid w:val="00151717"/>
    <w:rsid w:val="00151BA5"/>
    <w:rsid w:val="00151FA8"/>
    <w:rsid w:val="0015218F"/>
    <w:rsid w:val="00152212"/>
    <w:rsid w:val="00152289"/>
    <w:rsid w:val="00152938"/>
    <w:rsid w:val="0015299C"/>
    <w:rsid w:val="00152AB9"/>
    <w:rsid w:val="0015315A"/>
    <w:rsid w:val="001535EE"/>
    <w:rsid w:val="001538BC"/>
    <w:rsid w:val="0015394C"/>
    <w:rsid w:val="00153BEF"/>
    <w:rsid w:val="00154762"/>
    <w:rsid w:val="00155412"/>
    <w:rsid w:val="0015579F"/>
    <w:rsid w:val="00155832"/>
    <w:rsid w:val="00155E87"/>
    <w:rsid w:val="001565DF"/>
    <w:rsid w:val="00156C65"/>
    <w:rsid w:val="00157104"/>
    <w:rsid w:val="0015773F"/>
    <w:rsid w:val="00160700"/>
    <w:rsid w:val="00160842"/>
    <w:rsid w:val="00160B6F"/>
    <w:rsid w:val="001613F3"/>
    <w:rsid w:val="00161984"/>
    <w:rsid w:val="0016229C"/>
    <w:rsid w:val="00162597"/>
    <w:rsid w:val="001626FB"/>
    <w:rsid w:val="001627C9"/>
    <w:rsid w:val="001627CB"/>
    <w:rsid w:val="00162F97"/>
    <w:rsid w:val="00163160"/>
    <w:rsid w:val="0016324C"/>
    <w:rsid w:val="00163539"/>
    <w:rsid w:val="00163849"/>
    <w:rsid w:val="00163E7F"/>
    <w:rsid w:val="00164094"/>
    <w:rsid w:val="001640E2"/>
    <w:rsid w:val="0016510E"/>
    <w:rsid w:val="0016533D"/>
    <w:rsid w:val="00165383"/>
    <w:rsid w:val="001656D0"/>
    <w:rsid w:val="00165724"/>
    <w:rsid w:val="00165FA9"/>
    <w:rsid w:val="001662B6"/>
    <w:rsid w:val="001662C2"/>
    <w:rsid w:val="00166331"/>
    <w:rsid w:val="00166A12"/>
    <w:rsid w:val="00167308"/>
    <w:rsid w:val="00167624"/>
    <w:rsid w:val="00167B1C"/>
    <w:rsid w:val="00167D52"/>
    <w:rsid w:val="00170523"/>
    <w:rsid w:val="0017053F"/>
    <w:rsid w:val="00171506"/>
    <w:rsid w:val="00171750"/>
    <w:rsid w:val="00171F19"/>
    <w:rsid w:val="00171F6F"/>
    <w:rsid w:val="00172F15"/>
    <w:rsid w:val="00173282"/>
    <w:rsid w:val="0017368F"/>
    <w:rsid w:val="00173698"/>
    <w:rsid w:val="00174965"/>
    <w:rsid w:val="00174A50"/>
    <w:rsid w:val="00174E50"/>
    <w:rsid w:val="001760ED"/>
    <w:rsid w:val="00176488"/>
    <w:rsid w:val="00176890"/>
    <w:rsid w:val="00176D40"/>
    <w:rsid w:val="00176DF8"/>
    <w:rsid w:val="001775D6"/>
    <w:rsid w:val="001776AD"/>
    <w:rsid w:val="00177A40"/>
    <w:rsid w:val="00177E06"/>
    <w:rsid w:val="001801FD"/>
    <w:rsid w:val="0018096B"/>
    <w:rsid w:val="00180EA9"/>
    <w:rsid w:val="00181026"/>
    <w:rsid w:val="00181508"/>
    <w:rsid w:val="00181AA1"/>
    <w:rsid w:val="001823B3"/>
    <w:rsid w:val="001823FA"/>
    <w:rsid w:val="00182B03"/>
    <w:rsid w:val="00182EB5"/>
    <w:rsid w:val="00183161"/>
    <w:rsid w:val="001834A3"/>
    <w:rsid w:val="001851F5"/>
    <w:rsid w:val="001856A4"/>
    <w:rsid w:val="00185871"/>
    <w:rsid w:val="00186FFC"/>
    <w:rsid w:val="001873B2"/>
    <w:rsid w:val="00187957"/>
    <w:rsid w:val="00187D10"/>
    <w:rsid w:val="00187FF6"/>
    <w:rsid w:val="0019243C"/>
    <w:rsid w:val="00192466"/>
    <w:rsid w:val="001924DC"/>
    <w:rsid w:val="001924DD"/>
    <w:rsid w:val="00193754"/>
    <w:rsid w:val="0019442C"/>
    <w:rsid w:val="00194825"/>
    <w:rsid w:val="00194ECA"/>
    <w:rsid w:val="00195235"/>
    <w:rsid w:val="00195AAF"/>
    <w:rsid w:val="00196479"/>
    <w:rsid w:val="001978FF"/>
    <w:rsid w:val="001979BF"/>
    <w:rsid w:val="00197DFC"/>
    <w:rsid w:val="00197F05"/>
    <w:rsid w:val="001A0777"/>
    <w:rsid w:val="001A0A0D"/>
    <w:rsid w:val="001A1E76"/>
    <w:rsid w:val="001A208C"/>
    <w:rsid w:val="001A23FD"/>
    <w:rsid w:val="001A2589"/>
    <w:rsid w:val="001A2BD8"/>
    <w:rsid w:val="001A32A8"/>
    <w:rsid w:val="001A42AA"/>
    <w:rsid w:val="001A49A1"/>
    <w:rsid w:val="001A4B5C"/>
    <w:rsid w:val="001A4F38"/>
    <w:rsid w:val="001A5009"/>
    <w:rsid w:val="001A51A9"/>
    <w:rsid w:val="001A539C"/>
    <w:rsid w:val="001A6232"/>
    <w:rsid w:val="001A64BC"/>
    <w:rsid w:val="001A6973"/>
    <w:rsid w:val="001A6B82"/>
    <w:rsid w:val="001A6F83"/>
    <w:rsid w:val="001A7872"/>
    <w:rsid w:val="001A7F72"/>
    <w:rsid w:val="001B0336"/>
    <w:rsid w:val="001B0CC8"/>
    <w:rsid w:val="001B1DD8"/>
    <w:rsid w:val="001B24FF"/>
    <w:rsid w:val="001B273D"/>
    <w:rsid w:val="001B2D59"/>
    <w:rsid w:val="001B5408"/>
    <w:rsid w:val="001B63C5"/>
    <w:rsid w:val="001B708A"/>
    <w:rsid w:val="001B7392"/>
    <w:rsid w:val="001B754F"/>
    <w:rsid w:val="001B764C"/>
    <w:rsid w:val="001B7E83"/>
    <w:rsid w:val="001B7ED2"/>
    <w:rsid w:val="001C099B"/>
    <w:rsid w:val="001C0F49"/>
    <w:rsid w:val="001C114C"/>
    <w:rsid w:val="001C1159"/>
    <w:rsid w:val="001C120E"/>
    <w:rsid w:val="001C1718"/>
    <w:rsid w:val="001C1A26"/>
    <w:rsid w:val="001C1C93"/>
    <w:rsid w:val="001C2274"/>
    <w:rsid w:val="001C338E"/>
    <w:rsid w:val="001C34CC"/>
    <w:rsid w:val="001C3F70"/>
    <w:rsid w:val="001C3F8E"/>
    <w:rsid w:val="001C43F6"/>
    <w:rsid w:val="001C5033"/>
    <w:rsid w:val="001C5300"/>
    <w:rsid w:val="001C6364"/>
    <w:rsid w:val="001C6F19"/>
    <w:rsid w:val="001C706E"/>
    <w:rsid w:val="001C759B"/>
    <w:rsid w:val="001D0592"/>
    <w:rsid w:val="001D0609"/>
    <w:rsid w:val="001D07FE"/>
    <w:rsid w:val="001D0DAD"/>
    <w:rsid w:val="001D198B"/>
    <w:rsid w:val="001D1D99"/>
    <w:rsid w:val="001D27C3"/>
    <w:rsid w:val="001D2997"/>
    <w:rsid w:val="001D315A"/>
    <w:rsid w:val="001D33DC"/>
    <w:rsid w:val="001D45B5"/>
    <w:rsid w:val="001D4C05"/>
    <w:rsid w:val="001D541D"/>
    <w:rsid w:val="001D6BF7"/>
    <w:rsid w:val="001D6DC2"/>
    <w:rsid w:val="001D7126"/>
    <w:rsid w:val="001D73B6"/>
    <w:rsid w:val="001D74D1"/>
    <w:rsid w:val="001E11DC"/>
    <w:rsid w:val="001E153B"/>
    <w:rsid w:val="001E1774"/>
    <w:rsid w:val="001E1A6D"/>
    <w:rsid w:val="001E1B47"/>
    <w:rsid w:val="001E1BB6"/>
    <w:rsid w:val="001E27F3"/>
    <w:rsid w:val="001E28A8"/>
    <w:rsid w:val="001E2FF8"/>
    <w:rsid w:val="001E31B0"/>
    <w:rsid w:val="001E3895"/>
    <w:rsid w:val="001E3A0F"/>
    <w:rsid w:val="001E3CD9"/>
    <w:rsid w:val="001E44CD"/>
    <w:rsid w:val="001E49FA"/>
    <w:rsid w:val="001E4BC6"/>
    <w:rsid w:val="001E4D8E"/>
    <w:rsid w:val="001E53F8"/>
    <w:rsid w:val="001E5D80"/>
    <w:rsid w:val="001E5D81"/>
    <w:rsid w:val="001E5FE4"/>
    <w:rsid w:val="001E6020"/>
    <w:rsid w:val="001E6223"/>
    <w:rsid w:val="001E673F"/>
    <w:rsid w:val="001E67C4"/>
    <w:rsid w:val="001E7163"/>
    <w:rsid w:val="001E7BAE"/>
    <w:rsid w:val="001E7F25"/>
    <w:rsid w:val="001F0B38"/>
    <w:rsid w:val="001F0F5C"/>
    <w:rsid w:val="001F1803"/>
    <w:rsid w:val="001F1C71"/>
    <w:rsid w:val="001F21A4"/>
    <w:rsid w:val="001F23DE"/>
    <w:rsid w:val="001F2B8F"/>
    <w:rsid w:val="001F4094"/>
    <w:rsid w:val="001F4475"/>
    <w:rsid w:val="001F4509"/>
    <w:rsid w:val="001F4748"/>
    <w:rsid w:val="001F4CEA"/>
    <w:rsid w:val="001F5754"/>
    <w:rsid w:val="001F5ABB"/>
    <w:rsid w:val="001F5F1E"/>
    <w:rsid w:val="001F61F3"/>
    <w:rsid w:val="001F6261"/>
    <w:rsid w:val="001F70C6"/>
    <w:rsid w:val="001F74C4"/>
    <w:rsid w:val="001F782E"/>
    <w:rsid w:val="001F7E86"/>
    <w:rsid w:val="001F7EFE"/>
    <w:rsid w:val="002007EB"/>
    <w:rsid w:val="00201815"/>
    <w:rsid w:val="002024F0"/>
    <w:rsid w:val="00202960"/>
    <w:rsid w:val="00202B31"/>
    <w:rsid w:val="00202B94"/>
    <w:rsid w:val="00202C60"/>
    <w:rsid w:val="00203252"/>
    <w:rsid w:val="00203869"/>
    <w:rsid w:val="00203ED5"/>
    <w:rsid w:val="0020434F"/>
    <w:rsid w:val="002046FF"/>
    <w:rsid w:val="002047E6"/>
    <w:rsid w:val="002051FA"/>
    <w:rsid w:val="002059A5"/>
    <w:rsid w:val="00205C5F"/>
    <w:rsid w:val="00206154"/>
    <w:rsid w:val="002065B1"/>
    <w:rsid w:val="00207284"/>
    <w:rsid w:val="0020778A"/>
    <w:rsid w:val="00207FD7"/>
    <w:rsid w:val="00210C19"/>
    <w:rsid w:val="002110AB"/>
    <w:rsid w:val="0021174A"/>
    <w:rsid w:val="00211F64"/>
    <w:rsid w:val="00211F9B"/>
    <w:rsid w:val="0021234A"/>
    <w:rsid w:val="00212412"/>
    <w:rsid w:val="00212A58"/>
    <w:rsid w:val="00212CAB"/>
    <w:rsid w:val="00213209"/>
    <w:rsid w:val="0021330E"/>
    <w:rsid w:val="0021397C"/>
    <w:rsid w:val="00213CEA"/>
    <w:rsid w:val="00214128"/>
    <w:rsid w:val="00215149"/>
    <w:rsid w:val="002164FD"/>
    <w:rsid w:val="00216FA1"/>
    <w:rsid w:val="002170DF"/>
    <w:rsid w:val="002174EC"/>
    <w:rsid w:val="002177AE"/>
    <w:rsid w:val="00217972"/>
    <w:rsid w:val="00217EFB"/>
    <w:rsid w:val="00221A37"/>
    <w:rsid w:val="00221C43"/>
    <w:rsid w:val="00222036"/>
    <w:rsid w:val="0022254B"/>
    <w:rsid w:val="00222E0C"/>
    <w:rsid w:val="002235BA"/>
    <w:rsid w:val="00224463"/>
    <w:rsid w:val="00225043"/>
    <w:rsid w:val="002259A8"/>
    <w:rsid w:val="00225A21"/>
    <w:rsid w:val="00226083"/>
    <w:rsid w:val="00226233"/>
    <w:rsid w:val="00227B90"/>
    <w:rsid w:val="002302A2"/>
    <w:rsid w:val="00230542"/>
    <w:rsid w:val="00230D1D"/>
    <w:rsid w:val="002311B1"/>
    <w:rsid w:val="002311B3"/>
    <w:rsid w:val="00231934"/>
    <w:rsid w:val="00231AAA"/>
    <w:rsid w:val="00232B1E"/>
    <w:rsid w:val="00232C73"/>
    <w:rsid w:val="0023359B"/>
    <w:rsid w:val="0023402D"/>
    <w:rsid w:val="0023449A"/>
    <w:rsid w:val="00234A7F"/>
    <w:rsid w:val="00234AE3"/>
    <w:rsid w:val="0023575B"/>
    <w:rsid w:val="00235A2E"/>
    <w:rsid w:val="002379E8"/>
    <w:rsid w:val="002407A3"/>
    <w:rsid w:val="00240CDB"/>
    <w:rsid w:val="00241495"/>
    <w:rsid w:val="00241E62"/>
    <w:rsid w:val="0024217F"/>
    <w:rsid w:val="00242DAE"/>
    <w:rsid w:val="00243720"/>
    <w:rsid w:val="0024400F"/>
    <w:rsid w:val="002440B7"/>
    <w:rsid w:val="00244CFC"/>
    <w:rsid w:val="00245066"/>
    <w:rsid w:val="002458B2"/>
    <w:rsid w:val="00246A49"/>
    <w:rsid w:val="00246CEA"/>
    <w:rsid w:val="0024706B"/>
    <w:rsid w:val="002506F3"/>
    <w:rsid w:val="00250C59"/>
    <w:rsid w:val="002524BA"/>
    <w:rsid w:val="002525AA"/>
    <w:rsid w:val="002528FB"/>
    <w:rsid w:val="00252DC9"/>
    <w:rsid w:val="00252FA0"/>
    <w:rsid w:val="00253DA1"/>
    <w:rsid w:val="00254596"/>
    <w:rsid w:val="00254B24"/>
    <w:rsid w:val="0025502D"/>
    <w:rsid w:val="00255D48"/>
    <w:rsid w:val="00256405"/>
    <w:rsid w:val="00256752"/>
    <w:rsid w:val="00257871"/>
    <w:rsid w:val="0025796C"/>
    <w:rsid w:val="0026074C"/>
    <w:rsid w:val="00260C70"/>
    <w:rsid w:val="0026142A"/>
    <w:rsid w:val="002617A5"/>
    <w:rsid w:val="00262152"/>
    <w:rsid w:val="00262355"/>
    <w:rsid w:val="00262790"/>
    <w:rsid w:val="0026305B"/>
    <w:rsid w:val="002632AD"/>
    <w:rsid w:val="00263F29"/>
    <w:rsid w:val="00265CCA"/>
    <w:rsid w:val="002660E9"/>
    <w:rsid w:val="00266335"/>
    <w:rsid w:val="00266857"/>
    <w:rsid w:val="002670D6"/>
    <w:rsid w:val="0026710B"/>
    <w:rsid w:val="00267434"/>
    <w:rsid w:val="00267D08"/>
    <w:rsid w:val="00270F51"/>
    <w:rsid w:val="002714A8"/>
    <w:rsid w:val="002717B8"/>
    <w:rsid w:val="002722CB"/>
    <w:rsid w:val="002726BE"/>
    <w:rsid w:val="00273843"/>
    <w:rsid w:val="0027458B"/>
    <w:rsid w:val="0027465B"/>
    <w:rsid w:val="002746BA"/>
    <w:rsid w:val="00274908"/>
    <w:rsid w:val="00274D7B"/>
    <w:rsid w:val="00275280"/>
    <w:rsid w:val="00275625"/>
    <w:rsid w:val="00275986"/>
    <w:rsid w:val="00275B11"/>
    <w:rsid w:val="00275D75"/>
    <w:rsid w:val="00276697"/>
    <w:rsid w:val="00276B8F"/>
    <w:rsid w:val="00276DD4"/>
    <w:rsid w:val="00276EEE"/>
    <w:rsid w:val="002774FF"/>
    <w:rsid w:val="00277B25"/>
    <w:rsid w:val="00277DFB"/>
    <w:rsid w:val="00280763"/>
    <w:rsid w:val="00280C71"/>
    <w:rsid w:val="00281050"/>
    <w:rsid w:val="0028139C"/>
    <w:rsid w:val="00281CFB"/>
    <w:rsid w:val="002827AB"/>
    <w:rsid w:val="00282997"/>
    <w:rsid w:val="00282F9D"/>
    <w:rsid w:val="00283D35"/>
    <w:rsid w:val="002851BB"/>
    <w:rsid w:val="0028536C"/>
    <w:rsid w:val="0028604D"/>
    <w:rsid w:val="002860D6"/>
    <w:rsid w:val="002861DA"/>
    <w:rsid w:val="00286591"/>
    <w:rsid w:val="0028681F"/>
    <w:rsid w:val="0028690E"/>
    <w:rsid w:val="00286B2A"/>
    <w:rsid w:val="00287EB5"/>
    <w:rsid w:val="002900BA"/>
    <w:rsid w:val="0029018E"/>
    <w:rsid w:val="002903AE"/>
    <w:rsid w:val="002903CC"/>
    <w:rsid w:val="002905F7"/>
    <w:rsid w:val="00291C0A"/>
    <w:rsid w:val="00291DF8"/>
    <w:rsid w:val="00291FE6"/>
    <w:rsid w:val="00292330"/>
    <w:rsid w:val="0029363D"/>
    <w:rsid w:val="00293A59"/>
    <w:rsid w:val="00293D61"/>
    <w:rsid w:val="0029428A"/>
    <w:rsid w:val="00294381"/>
    <w:rsid w:val="00294652"/>
    <w:rsid w:val="0029465D"/>
    <w:rsid w:val="00294F4D"/>
    <w:rsid w:val="00295476"/>
    <w:rsid w:val="00295574"/>
    <w:rsid w:val="00295807"/>
    <w:rsid w:val="00295D53"/>
    <w:rsid w:val="00295E14"/>
    <w:rsid w:val="002960E3"/>
    <w:rsid w:val="0029651C"/>
    <w:rsid w:val="002966D6"/>
    <w:rsid w:val="002969F0"/>
    <w:rsid w:val="00296AF7"/>
    <w:rsid w:val="00296C1D"/>
    <w:rsid w:val="00296CF7"/>
    <w:rsid w:val="00296EE0"/>
    <w:rsid w:val="002976D2"/>
    <w:rsid w:val="0029786C"/>
    <w:rsid w:val="002979BD"/>
    <w:rsid w:val="002A0C97"/>
    <w:rsid w:val="002A148E"/>
    <w:rsid w:val="002A1C70"/>
    <w:rsid w:val="002A1D94"/>
    <w:rsid w:val="002A27F0"/>
    <w:rsid w:val="002A2B49"/>
    <w:rsid w:val="002A39FD"/>
    <w:rsid w:val="002A44F3"/>
    <w:rsid w:val="002A4A79"/>
    <w:rsid w:val="002A5566"/>
    <w:rsid w:val="002A56DE"/>
    <w:rsid w:val="002A587C"/>
    <w:rsid w:val="002B0232"/>
    <w:rsid w:val="002B04EB"/>
    <w:rsid w:val="002B0519"/>
    <w:rsid w:val="002B39AE"/>
    <w:rsid w:val="002B3C08"/>
    <w:rsid w:val="002B514E"/>
    <w:rsid w:val="002B5A27"/>
    <w:rsid w:val="002B5D89"/>
    <w:rsid w:val="002B62B8"/>
    <w:rsid w:val="002B781D"/>
    <w:rsid w:val="002B7CC2"/>
    <w:rsid w:val="002C01DC"/>
    <w:rsid w:val="002C058B"/>
    <w:rsid w:val="002C06BD"/>
    <w:rsid w:val="002C0B07"/>
    <w:rsid w:val="002C18A2"/>
    <w:rsid w:val="002C2068"/>
    <w:rsid w:val="002C2A14"/>
    <w:rsid w:val="002C3148"/>
    <w:rsid w:val="002C3AC4"/>
    <w:rsid w:val="002C44D0"/>
    <w:rsid w:val="002C4A2F"/>
    <w:rsid w:val="002C4B8A"/>
    <w:rsid w:val="002C5293"/>
    <w:rsid w:val="002C6B82"/>
    <w:rsid w:val="002C6CD0"/>
    <w:rsid w:val="002C742C"/>
    <w:rsid w:val="002D0309"/>
    <w:rsid w:val="002D0539"/>
    <w:rsid w:val="002D099A"/>
    <w:rsid w:val="002D0EE6"/>
    <w:rsid w:val="002D127B"/>
    <w:rsid w:val="002D14EE"/>
    <w:rsid w:val="002D1FDF"/>
    <w:rsid w:val="002D1FFD"/>
    <w:rsid w:val="002D247D"/>
    <w:rsid w:val="002D277D"/>
    <w:rsid w:val="002D343C"/>
    <w:rsid w:val="002D370A"/>
    <w:rsid w:val="002D4037"/>
    <w:rsid w:val="002D45F2"/>
    <w:rsid w:val="002D4DCD"/>
    <w:rsid w:val="002D4FEA"/>
    <w:rsid w:val="002D53E1"/>
    <w:rsid w:val="002D53FF"/>
    <w:rsid w:val="002D5D4D"/>
    <w:rsid w:val="002D65C0"/>
    <w:rsid w:val="002D6AB6"/>
    <w:rsid w:val="002D6ACC"/>
    <w:rsid w:val="002D70D8"/>
    <w:rsid w:val="002D76AE"/>
    <w:rsid w:val="002E00AF"/>
    <w:rsid w:val="002E0315"/>
    <w:rsid w:val="002E16D4"/>
    <w:rsid w:val="002E21AC"/>
    <w:rsid w:val="002E258D"/>
    <w:rsid w:val="002E28EB"/>
    <w:rsid w:val="002E3943"/>
    <w:rsid w:val="002E4007"/>
    <w:rsid w:val="002E48ED"/>
    <w:rsid w:val="002E51A6"/>
    <w:rsid w:val="002E528C"/>
    <w:rsid w:val="002E543B"/>
    <w:rsid w:val="002E5919"/>
    <w:rsid w:val="002E708E"/>
    <w:rsid w:val="002E7989"/>
    <w:rsid w:val="002E7E22"/>
    <w:rsid w:val="002F061E"/>
    <w:rsid w:val="002F0DC5"/>
    <w:rsid w:val="002F0F66"/>
    <w:rsid w:val="002F1356"/>
    <w:rsid w:val="002F2933"/>
    <w:rsid w:val="002F2E13"/>
    <w:rsid w:val="002F2F29"/>
    <w:rsid w:val="002F306F"/>
    <w:rsid w:val="002F3F09"/>
    <w:rsid w:val="002F5668"/>
    <w:rsid w:val="002F5A60"/>
    <w:rsid w:val="002F5C77"/>
    <w:rsid w:val="002F5CF4"/>
    <w:rsid w:val="002F6262"/>
    <w:rsid w:val="002F6B8E"/>
    <w:rsid w:val="002F7BFE"/>
    <w:rsid w:val="0030010F"/>
    <w:rsid w:val="00300234"/>
    <w:rsid w:val="0030057E"/>
    <w:rsid w:val="00300D88"/>
    <w:rsid w:val="0030151F"/>
    <w:rsid w:val="003025C2"/>
    <w:rsid w:val="00303044"/>
    <w:rsid w:val="003034E2"/>
    <w:rsid w:val="0030368B"/>
    <w:rsid w:val="00303B1A"/>
    <w:rsid w:val="0030579A"/>
    <w:rsid w:val="0030598E"/>
    <w:rsid w:val="00305E39"/>
    <w:rsid w:val="00305E79"/>
    <w:rsid w:val="0030750C"/>
    <w:rsid w:val="00310147"/>
    <w:rsid w:val="003104B3"/>
    <w:rsid w:val="0031057D"/>
    <w:rsid w:val="003107D4"/>
    <w:rsid w:val="00310927"/>
    <w:rsid w:val="0031093C"/>
    <w:rsid w:val="00310A38"/>
    <w:rsid w:val="00310C0A"/>
    <w:rsid w:val="00310D4A"/>
    <w:rsid w:val="00310E9D"/>
    <w:rsid w:val="00311117"/>
    <w:rsid w:val="00311A25"/>
    <w:rsid w:val="00311F08"/>
    <w:rsid w:val="00312617"/>
    <w:rsid w:val="0031290C"/>
    <w:rsid w:val="003130E7"/>
    <w:rsid w:val="00314002"/>
    <w:rsid w:val="00314565"/>
    <w:rsid w:val="003145E7"/>
    <w:rsid w:val="00314817"/>
    <w:rsid w:val="00315174"/>
    <w:rsid w:val="00315483"/>
    <w:rsid w:val="003161B9"/>
    <w:rsid w:val="003164F4"/>
    <w:rsid w:val="00316703"/>
    <w:rsid w:val="00316A0F"/>
    <w:rsid w:val="003171C1"/>
    <w:rsid w:val="00317582"/>
    <w:rsid w:val="00317693"/>
    <w:rsid w:val="00317700"/>
    <w:rsid w:val="00317825"/>
    <w:rsid w:val="00317B18"/>
    <w:rsid w:val="00317CFA"/>
    <w:rsid w:val="003204E5"/>
    <w:rsid w:val="00320758"/>
    <w:rsid w:val="00320AED"/>
    <w:rsid w:val="00321BCA"/>
    <w:rsid w:val="00322C67"/>
    <w:rsid w:val="00322ECF"/>
    <w:rsid w:val="00323609"/>
    <w:rsid w:val="0032395A"/>
    <w:rsid w:val="00323B64"/>
    <w:rsid w:val="00324207"/>
    <w:rsid w:val="00324879"/>
    <w:rsid w:val="00324D92"/>
    <w:rsid w:val="00324D95"/>
    <w:rsid w:val="003251DE"/>
    <w:rsid w:val="00325995"/>
    <w:rsid w:val="003259F1"/>
    <w:rsid w:val="0032735B"/>
    <w:rsid w:val="003276DA"/>
    <w:rsid w:val="00327E3E"/>
    <w:rsid w:val="0033176A"/>
    <w:rsid w:val="00331EF8"/>
    <w:rsid w:val="00332AAE"/>
    <w:rsid w:val="00332BB1"/>
    <w:rsid w:val="00333661"/>
    <w:rsid w:val="00333726"/>
    <w:rsid w:val="00333956"/>
    <w:rsid w:val="00334317"/>
    <w:rsid w:val="00334CE4"/>
    <w:rsid w:val="00335084"/>
    <w:rsid w:val="00335287"/>
    <w:rsid w:val="003359CC"/>
    <w:rsid w:val="00335BEB"/>
    <w:rsid w:val="00335D62"/>
    <w:rsid w:val="00336001"/>
    <w:rsid w:val="003361A9"/>
    <w:rsid w:val="00336218"/>
    <w:rsid w:val="0033659B"/>
    <w:rsid w:val="00337E4A"/>
    <w:rsid w:val="003406B3"/>
    <w:rsid w:val="0034086D"/>
    <w:rsid w:val="00340AD7"/>
    <w:rsid w:val="00341741"/>
    <w:rsid w:val="00342346"/>
    <w:rsid w:val="003427B8"/>
    <w:rsid w:val="00342B6C"/>
    <w:rsid w:val="003438EA"/>
    <w:rsid w:val="00343A6B"/>
    <w:rsid w:val="00343E5A"/>
    <w:rsid w:val="003450C1"/>
    <w:rsid w:val="003456AF"/>
    <w:rsid w:val="00345947"/>
    <w:rsid w:val="0034597B"/>
    <w:rsid w:val="00345B9D"/>
    <w:rsid w:val="003462B7"/>
    <w:rsid w:val="0034630E"/>
    <w:rsid w:val="00346481"/>
    <w:rsid w:val="00346E41"/>
    <w:rsid w:val="00347313"/>
    <w:rsid w:val="00347A9E"/>
    <w:rsid w:val="00347B3E"/>
    <w:rsid w:val="0035021F"/>
    <w:rsid w:val="00350E81"/>
    <w:rsid w:val="00351367"/>
    <w:rsid w:val="00351747"/>
    <w:rsid w:val="00352246"/>
    <w:rsid w:val="0035295D"/>
    <w:rsid w:val="00352A71"/>
    <w:rsid w:val="00352E66"/>
    <w:rsid w:val="00352EA4"/>
    <w:rsid w:val="00354376"/>
    <w:rsid w:val="00354731"/>
    <w:rsid w:val="00354E19"/>
    <w:rsid w:val="00354E28"/>
    <w:rsid w:val="003554CD"/>
    <w:rsid w:val="0035596D"/>
    <w:rsid w:val="0035669E"/>
    <w:rsid w:val="003566ED"/>
    <w:rsid w:val="003567AD"/>
    <w:rsid w:val="00356842"/>
    <w:rsid w:val="00356D22"/>
    <w:rsid w:val="003570E9"/>
    <w:rsid w:val="003570F7"/>
    <w:rsid w:val="00357114"/>
    <w:rsid w:val="00357392"/>
    <w:rsid w:val="0035789E"/>
    <w:rsid w:val="003602D2"/>
    <w:rsid w:val="00360357"/>
    <w:rsid w:val="00360A34"/>
    <w:rsid w:val="00360E38"/>
    <w:rsid w:val="00360F5F"/>
    <w:rsid w:val="00361E5D"/>
    <w:rsid w:val="003622F5"/>
    <w:rsid w:val="0036240C"/>
    <w:rsid w:val="0036318E"/>
    <w:rsid w:val="00363386"/>
    <w:rsid w:val="003635A6"/>
    <w:rsid w:val="00363705"/>
    <w:rsid w:val="003644F8"/>
    <w:rsid w:val="0036453E"/>
    <w:rsid w:val="0036537E"/>
    <w:rsid w:val="00365443"/>
    <w:rsid w:val="00366839"/>
    <w:rsid w:val="00366D51"/>
    <w:rsid w:val="00367F61"/>
    <w:rsid w:val="003706CE"/>
    <w:rsid w:val="00370D54"/>
    <w:rsid w:val="00371503"/>
    <w:rsid w:val="00371535"/>
    <w:rsid w:val="0037155B"/>
    <w:rsid w:val="00372550"/>
    <w:rsid w:val="00372E54"/>
    <w:rsid w:val="00372F2A"/>
    <w:rsid w:val="00373303"/>
    <w:rsid w:val="003736CF"/>
    <w:rsid w:val="003738BD"/>
    <w:rsid w:val="003747F9"/>
    <w:rsid w:val="00374B08"/>
    <w:rsid w:val="00374BF9"/>
    <w:rsid w:val="003751CF"/>
    <w:rsid w:val="0037534B"/>
    <w:rsid w:val="00375663"/>
    <w:rsid w:val="00375C62"/>
    <w:rsid w:val="00375E59"/>
    <w:rsid w:val="00376AB7"/>
    <w:rsid w:val="00376DE3"/>
    <w:rsid w:val="00377574"/>
    <w:rsid w:val="00380C38"/>
    <w:rsid w:val="0038157C"/>
    <w:rsid w:val="0038170F"/>
    <w:rsid w:val="0038175D"/>
    <w:rsid w:val="00381EC3"/>
    <w:rsid w:val="00381FD1"/>
    <w:rsid w:val="003823A0"/>
    <w:rsid w:val="003829D9"/>
    <w:rsid w:val="00382CD9"/>
    <w:rsid w:val="00383CC1"/>
    <w:rsid w:val="00383F39"/>
    <w:rsid w:val="00383FD3"/>
    <w:rsid w:val="00385224"/>
    <w:rsid w:val="00385B74"/>
    <w:rsid w:val="00385BC7"/>
    <w:rsid w:val="00386AAC"/>
    <w:rsid w:val="00386C24"/>
    <w:rsid w:val="00386ECF"/>
    <w:rsid w:val="00387642"/>
    <w:rsid w:val="00387C14"/>
    <w:rsid w:val="00387D9E"/>
    <w:rsid w:val="0039072A"/>
    <w:rsid w:val="0039085E"/>
    <w:rsid w:val="0039159F"/>
    <w:rsid w:val="00391A6C"/>
    <w:rsid w:val="0039259E"/>
    <w:rsid w:val="0039310F"/>
    <w:rsid w:val="0039351D"/>
    <w:rsid w:val="00393573"/>
    <w:rsid w:val="00393647"/>
    <w:rsid w:val="00393F7D"/>
    <w:rsid w:val="003945F8"/>
    <w:rsid w:val="0039472C"/>
    <w:rsid w:val="0039632A"/>
    <w:rsid w:val="00396CB4"/>
    <w:rsid w:val="00397010"/>
    <w:rsid w:val="003973DC"/>
    <w:rsid w:val="00397FC8"/>
    <w:rsid w:val="003A0606"/>
    <w:rsid w:val="003A14C8"/>
    <w:rsid w:val="003A1E6D"/>
    <w:rsid w:val="003A2A69"/>
    <w:rsid w:val="003A395D"/>
    <w:rsid w:val="003A3E81"/>
    <w:rsid w:val="003A40B2"/>
    <w:rsid w:val="003A43BB"/>
    <w:rsid w:val="003A4641"/>
    <w:rsid w:val="003A5894"/>
    <w:rsid w:val="003A5975"/>
    <w:rsid w:val="003A60DB"/>
    <w:rsid w:val="003A6100"/>
    <w:rsid w:val="003A6BDB"/>
    <w:rsid w:val="003A7139"/>
    <w:rsid w:val="003A7C1C"/>
    <w:rsid w:val="003A7C69"/>
    <w:rsid w:val="003B09A3"/>
    <w:rsid w:val="003B09AC"/>
    <w:rsid w:val="003B0F8F"/>
    <w:rsid w:val="003B1DF3"/>
    <w:rsid w:val="003B234E"/>
    <w:rsid w:val="003B289E"/>
    <w:rsid w:val="003B2BC1"/>
    <w:rsid w:val="003B3C3F"/>
    <w:rsid w:val="003B4588"/>
    <w:rsid w:val="003B560D"/>
    <w:rsid w:val="003B5731"/>
    <w:rsid w:val="003B5A87"/>
    <w:rsid w:val="003B5DF2"/>
    <w:rsid w:val="003B5FDF"/>
    <w:rsid w:val="003B600F"/>
    <w:rsid w:val="003B6404"/>
    <w:rsid w:val="003B6629"/>
    <w:rsid w:val="003B6A7B"/>
    <w:rsid w:val="003B6C55"/>
    <w:rsid w:val="003B70A7"/>
    <w:rsid w:val="003B7B03"/>
    <w:rsid w:val="003B7F91"/>
    <w:rsid w:val="003C01D6"/>
    <w:rsid w:val="003C057F"/>
    <w:rsid w:val="003C0D2C"/>
    <w:rsid w:val="003C117A"/>
    <w:rsid w:val="003C17A1"/>
    <w:rsid w:val="003C265D"/>
    <w:rsid w:val="003C268A"/>
    <w:rsid w:val="003C2AAB"/>
    <w:rsid w:val="003C34B5"/>
    <w:rsid w:val="003C356C"/>
    <w:rsid w:val="003C3A01"/>
    <w:rsid w:val="003C3A95"/>
    <w:rsid w:val="003C3C3C"/>
    <w:rsid w:val="003C3F15"/>
    <w:rsid w:val="003C4152"/>
    <w:rsid w:val="003C56FB"/>
    <w:rsid w:val="003C5CFF"/>
    <w:rsid w:val="003C6B00"/>
    <w:rsid w:val="003C6E96"/>
    <w:rsid w:val="003C7304"/>
    <w:rsid w:val="003C73C1"/>
    <w:rsid w:val="003C7816"/>
    <w:rsid w:val="003C7B02"/>
    <w:rsid w:val="003D005E"/>
    <w:rsid w:val="003D0263"/>
    <w:rsid w:val="003D0626"/>
    <w:rsid w:val="003D072E"/>
    <w:rsid w:val="003D1F95"/>
    <w:rsid w:val="003D213C"/>
    <w:rsid w:val="003D24F2"/>
    <w:rsid w:val="003D28B2"/>
    <w:rsid w:val="003D2FB2"/>
    <w:rsid w:val="003D33F5"/>
    <w:rsid w:val="003D3A56"/>
    <w:rsid w:val="003D3A73"/>
    <w:rsid w:val="003D3F63"/>
    <w:rsid w:val="003D40F4"/>
    <w:rsid w:val="003D47A2"/>
    <w:rsid w:val="003D47FA"/>
    <w:rsid w:val="003D4A7C"/>
    <w:rsid w:val="003D4F6B"/>
    <w:rsid w:val="003D5829"/>
    <w:rsid w:val="003D61E5"/>
    <w:rsid w:val="003D6C3A"/>
    <w:rsid w:val="003D73BD"/>
    <w:rsid w:val="003D7E48"/>
    <w:rsid w:val="003D7E9C"/>
    <w:rsid w:val="003E0064"/>
    <w:rsid w:val="003E071C"/>
    <w:rsid w:val="003E0D14"/>
    <w:rsid w:val="003E1292"/>
    <w:rsid w:val="003E1498"/>
    <w:rsid w:val="003E15F7"/>
    <w:rsid w:val="003E179D"/>
    <w:rsid w:val="003E17B6"/>
    <w:rsid w:val="003E235B"/>
    <w:rsid w:val="003E27E1"/>
    <w:rsid w:val="003E2838"/>
    <w:rsid w:val="003E2B7F"/>
    <w:rsid w:val="003E2DBE"/>
    <w:rsid w:val="003E3703"/>
    <w:rsid w:val="003E3C7D"/>
    <w:rsid w:val="003E3DCE"/>
    <w:rsid w:val="003E3F1C"/>
    <w:rsid w:val="003E42F8"/>
    <w:rsid w:val="003E4C51"/>
    <w:rsid w:val="003E4F38"/>
    <w:rsid w:val="003E553F"/>
    <w:rsid w:val="003E6AA7"/>
    <w:rsid w:val="003E6AB1"/>
    <w:rsid w:val="003E6C3D"/>
    <w:rsid w:val="003E6D9C"/>
    <w:rsid w:val="003E6F37"/>
    <w:rsid w:val="003E7AED"/>
    <w:rsid w:val="003E7FF4"/>
    <w:rsid w:val="003F029F"/>
    <w:rsid w:val="003F0EBB"/>
    <w:rsid w:val="003F110C"/>
    <w:rsid w:val="003F14BD"/>
    <w:rsid w:val="003F15C7"/>
    <w:rsid w:val="003F16BB"/>
    <w:rsid w:val="003F18EB"/>
    <w:rsid w:val="003F1A4B"/>
    <w:rsid w:val="003F1D87"/>
    <w:rsid w:val="003F2463"/>
    <w:rsid w:val="003F4EB9"/>
    <w:rsid w:val="003F5B28"/>
    <w:rsid w:val="003F5B97"/>
    <w:rsid w:val="003F6841"/>
    <w:rsid w:val="003F6BAA"/>
    <w:rsid w:val="003F6DF7"/>
    <w:rsid w:val="003F7995"/>
    <w:rsid w:val="003F7E0C"/>
    <w:rsid w:val="004002E5"/>
    <w:rsid w:val="004003B5"/>
    <w:rsid w:val="00400AA6"/>
    <w:rsid w:val="0040122E"/>
    <w:rsid w:val="00401346"/>
    <w:rsid w:val="004015F5"/>
    <w:rsid w:val="00403450"/>
    <w:rsid w:val="004046CA"/>
    <w:rsid w:val="00404CD3"/>
    <w:rsid w:val="00404F9A"/>
    <w:rsid w:val="00405290"/>
    <w:rsid w:val="00405FCB"/>
    <w:rsid w:val="004060A0"/>
    <w:rsid w:val="004060AC"/>
    <w:rsid w:val="0040630B"/>
    <w:rsid w:val="0040636B"/>
    <w:rsid w:val="00406EAD"/>
    <w:rsid w:val="004070F4"/>
    <w:rsid w:val="0040714B"/>
    <w:rsid w:val="00407283"/>
    <w:rsid w:val="00407387"/>
    <w:rsid w:val="00407A57"/>
    <w:rsid w:val="00407D4A"/>
    <w:rsid w:val="00410A2B"/>
    <w:rsid w:val="004114FA"/>
    <w:rsid w:val="004117C1"/>
    <w:rsid w:val="00411B04"/>
    <w:rsid w:val="00411CB1"/>
    <w:rsid w:val="00412912"/>
    <w:rsid w:val="00412CF3"/>
    <w:rsid w:val="00412D1D"/>
    <w:rsid w:val="00412D32"/>
    <w:rsid w:val="00412EEA"/>
    <w:rsid w:val="00413226"/>
    <w:rsid w:val="00413AE6"/>
    <w:rsid w:val="00413CE7"/>
    <w:rsid w:val="00414702"/>
    <w:rsid w:val="0041489A"/>
    <w:rsid w:val="0041494F"/>
    <w:rsid w:val="00414DAF"/>
    <w:rsid w:val="004155FE"/>
    <w:rsid w:val="004156B9"/>
    <w:rsid w:val="0041582D"/>
    <w:rsid w:val="004161B0"/>
    <w:rsid w:val="00416CB3"/>
    <w:rsid w:val="0041715B"/>
    <w:rsid w:val="00417388"/>
    <w:rsid w:val="004205A5"/>
    <w:rsid w:val="0042092D"/>
    <w:rsid w:val="00420CE8"/>
    <w:rsid w:val="00420DEE"/>
    <w:rsid w:val="0042116D"/>
    <w:rsid w:val="00421C2E"/>
    <w:rsid w:val="004221AE"/>
    <w:rsid w:val="004222D4"/>
    <w:rsid w:val="00422329"/>
    <w:rsid w:val="0042283D"/>
    <w:rsid w:val="00422D12"/>
    <w:rsid w:val="00423980"/>
    <w:rsid w:val="00424571"/>
    <w:rsid w:val="00425267"/>
    <w:rsid w:val="00425409"/>
    <w:rsid w:val="00426507"/>
    <w:rsid w:val="004269D5"/>
    <w:rsid w:val="00426B1C"/>
    <w:rsid w:val="00426BD1"/>
    <w:rsid w:val="00426D26"/>
    <w:rsid w:val="00427667"/>
    <w:rsid w:val="00427A41"/>
    <w:rsid w:val="00427C04"/>
    <w:rsid w:val="00430867"/>
    <w:rsid w:val="0043120C"/>
    <w:rsid w:val="004312E4"/>
    <w:rsid w:val="0043148B"/>
    <w:rsid w:val="00431799"/>
    <w:rsid w:val="0043226D"/>
    <w:rsid w:val="004330CD"/>
    <w:rsid w:val="00433856"/>
    <w:rsid w:val="00433B3F"/>
    <w:rsid w:val="00434649"/>
    <w:rsid w:val="00434D55"/>
    <w:rsid w:val="00435755"/>
    <w:rsid w:val="004359C9"/>
    <w:rsid w:val="00435D3E"/>
    <w:rsid w:val="004364F0"/>
    <w:rsid w:val="00436A0B"/>
    <w:rsid w:val="004372E3"/>
    <w:rsid w:val="004375D2"/>
    <w:rsid w:val="00437A3E"/>
    <w:rsid w:val="004406DD"/>
    <w:rsid w:val="0044114E"/>
    <w:rsid w:val="004411BB"/>
    <w:rsid w:val="004414DB"/>
    <w:rsid w:val="004415F1"/>
    <w:rsid w:val="0044162A"/>
    <w:rsid w:val="0044272D"/>
    <w:rsid w:val="00442910"/>
    <w:rsid w:val="00442BAE"/>
    <w:rsid w:val="0044303D"/>
    <w:rsid w:val="00443230"/>
    <w:rsid w:val="00443488"/>
    <w:rsid w:val="00444154"/>
    <w:rsid w:val="004442B4"/>
    <w:rsid w:val="004445B6"/>
    <w:rsid w:val="00444966"/>
    <w:rsid w:val="00444CC6"/>
    <w:rsid w:val="004452EA"/>
    <w:rsid w:val="004456A5"/>
    <w:rsid w:val="004456F1"/>
    <w:rsid w:val="00446ADE"/>
    <w:rsid w:val="004471EC"/>
    <w:rsid w:val="00447262"/>
    <w:rsid w:val="004473FF"/>
    <w:rsid w:val="00447669"/>
    <w:rsid w:val="00447CB6"/>
    <w:rsid w:val="00447FBA"/>
    <w:rsid w:val="00450155"/>
    <w:rsid w:val="004501EA"/>
    <w:rsid w:val="0045097B"/>
    <w:rsid w:val="00452C42"/>
    <w:rsid w:val="00452F4B"/>
    <w:rsid w:val="004547FB"/>
    <w:rsid w:val="00454ABD"/>
    <w:rsid w:val="00455407"/>
    <w:rsid w:val="00455F13"/>
    <w:rsid w:val="00456821"/>
    <w:rsid w:val="00456ED8"/>
    <w:rsid w:val="0045760D"/>
    <w:rsid w:val="004606CF"/>
    <w:rsid w:val="00461335"/>
    <w:rsid w:val="0046171E"/>
    <w:rsid w:val="00461805"/>
    <w:rsid w:val="00462024"/>
    <w:rsid w:val="004627C6"/>
    <w:rsid w:val="00462E07"/>
    <w:rsid w:val="00463458"/>
    <w:rsid w:val="00463835"/>
    <w:rsid w:val="004638BE"/>
    <w:rsid w:val="0046419D"/>
    <w:rsid w:val="00464CD7"/>
    <w:rsid w:val="00464E3C"/>
    <w:rsid w:val="004659CA"/>
    <w:rsid w:val="00465BF0"/>
    <w:rsid w:val="0046606D"/>
    <w:rsid w:val="00466736"/>
    <w:rsid w:val="004667CB"/>
    <w:rsid w:val="00466A6B"/>
    <w:rsid w:val="004670D8"/>
    <w:rsid w:val="0046737B"/>
    <w:rsid w:val="004673C7"/>
    <w:rsid w:val="00467CFD"/>
    <w:rsid w:val="0047015C"/>
    <w:rsid w:val="004715A8"/>
    <w:rsid w:val="004718BC"/>
    <w:rsid w:val="00471D15"/>
    <w:rsid w:val="0047251E"/>
    <w:rsid w:val="00472572"/>
    <w:rsid w:val="00472D4F"/>
    <w:rsid w:val="0047345D"/>
    <w:rsid w:val="00474319"/>
    <w:rsid w:val="00474C94"/>
    <w:rsid w:val="00474CC6"/>
    <w:rsid w:val="00475070"/>
    <w:rsid w:val="0047534A"/>
    <w:rsid w:val="00475446"/>
    <w:rsid w:val="004760B5"/>
    <w:rsid w:val="0047770C"/>
    <w:rsid w:val="0047797D"/>
    <w:rsid w:val="00480955"/>
    <w:rsid w:val="004810F0"/>
    <w:rsid w:val="00481A83"/>
    <w:rsid w:val="00481AC9"/>
    <w:rsid w:val="00483075"/>
    <w:rsid w:val="004832D2"/>
    <w:rsid w:val="004838BA"/>
    <w:rsid w:val="00483F97"/>
    <w:rsid w:val="00484057"/>
    <w:rsid w:val="00484254"/>
    <w:rsid w:val="00484C4F"/>
    <w:rsid w:val="00484D96"/>
    <w:rsid w:val="004854BC"/>
    <w:rsid w:val="00486408"/>
    <w:rsid w:val="00486A10"/>
    <w:rsid w:val="00486DB1"/>
    <w:rsid w:val="00487F7B"/>
    <w:rsid w:val="00490089"/>
    <w:rsid w:val="004907A8"/>
    <w:rsid w:val="00490F1C"/>
    <w:rsid w:val="0049130E"/>
    <w:rsid w:val="00491930"/>
    <w:rsid w:val="0049196C"/>
    <w:rsid w:val="00492089"/>
    <w:rsid w:val="004925DE"/>
    <w:rsid w:val="00492681"/>
    <w:rsid w:val="00492837"/>
    <w:rsid w:val="00492B26"/>
    <w:rsid w:val="0049310B"/>
    <w:rsid w:val="00493337"/>
    <w:rsid w:val="0049362A"/>
    <w:rsid w:val="00493748"/>
    <w:rsid w:val="004941FC"/>
    <w:rsid w:val="00495024"/>
    <w:rsid w:val="00495871"/>
    <w:rsid w:val="00495C04"/>
    <w:rsid w:val="00495C8D"/>
    <w:rsid w:val="00496E11"/>
    <w:rsid w:val="0049753F"/>
    <w:rsid w:val="00497594"/>
    <w:rsid w:val="004A01B6"/>
    <w:rsid w:val="004A0392"/>
    <w:rsid w:val="004A077B"/>
    <w:rsid w:val="004A0F29"/>
    <w:rsid w:val="004A120A"/>
    <w:rsid w:val="004A1681"/>
    <w:rsid w:val="004A1732"/>
    <w:rsid w:val="004A192E"/>
    <w:rsid w:val="004A1F81"/>
    <w:rsid w:val="004A2AC7"/>
    <w:rsid w:val="004A2FD2"/>
    <w:rsid w:val="004A3039"/>
    <w:rsid w:val="004A33BD"/>
    <w:rsid w:val="004A3FC7"/>
    <w:rsid w:val="004A441A"/>
    <w:rsid w:val="004A4850"/>
    <w:rsid w:val="004A4E72"/>
    <w:rsid w:val="004A5181"/>
    <w:rsid w:val="004A56DB"/>
    <w:rsid w:val="004A583A"/>
    <w:rsid w:val="004A5D03"/>
    <w:rsid w:val="004A6095"/>
    <w:rsid w:val="004A6327"/>
    <w:rsid w:val="004A693F"/>
    <w:rsid w:val="004A7485"/>
    <w:rsid w:val="004A75C2"/>
    <w:rsid w:val="004A7B45"/>
    <w:rsid w:val="004B045C"/>
    <w:rsid w:val="004B067E"/>
    <w:rsid w:val="004B077C"/>
    <w:rsid w:val="004B0A8C"/>
    <w:rsid w:val="004B0C34"/>
    <w:rsid w:val="004B102E"/>
    <w:rsid w:val="004B1992"/>
    <w:rsid w:val="004B21D0"/>
    <w:rsid w:val="004B2413"/>
    <w:rsid w:val="004B2494"/>
    <w:rsid w:val="004B2960"/>
    <w:rsid w:val="004B2EBF"/>
    <w:rsid w:val="004B2F95"/>
    <w:rsid w:val="004B30A3"/>
    <w:rsid w:val="004B31B1"/>
    <w:rsid w:val="004B3CEE"/>
    <w:rsid w:val="004B446D"/>
    <w:rsid w:val="004B475E"/>
    <w:rsid w:val="004B492C"/>
    <w:rsid w:val="004B4E96"/>
    <w:rsid w:val="004B4F29"/>
    <w:rsid w:val="004B562C"/>
    <w:rsid w:val="004B5D27"/>
    <w:rsid w:val="004B5EF9"/>
    <w:rsid w:val="004B5FBF"/>
    <w:rsid w:val="004B6051"/>
    <w:rsid w:val="004B6056"/>
    <w:rsid w:val="004B70D3"/>
    <w:rsid w:val="004B71BF"/>
    <w:rsid w:val="004B754B"/>
    <w:rsid w:val="004B75D1"/>
    <w:rsid w:val="004B79B4"/>
    <w:rsid w:val="004C0170"/>
    <w:rsid w:val="004C0C0B"/>
    <w:rsid w:val="004C10EF"/>
    <w:rsid w:val="004C12A3"/>
    <w:rsid w:val="004C1E4E"/>
    <w:rsid w:val="004C241E"/>
    <w:rsid w:val="004C2473"/>
    <w:rsid w:val="004C2504"/>
    <w:rsid w:val="004C2BCA"/>
    <w:rsid w:val="004C3323"/>
    <w:rsid w:val="004C389A"/>
    <w:rsid w:val="004C4F26"/>
    <w:rsid w:val="004C55FD"/>
    <w:rsid w:val="004C60B4"/>
    <w:rsid w:val="004C6417"/>
    <w:rsid w:val="004C6BCB"/>
    <w:rsid w:val="004C6C52"/>
    <w:rsid w:val="004C6E91"/>
    <w:rsid w:val="004C796F"/>
    <w:rsid w:val="004D077D"/>
    <w:rsid w:val="004D09C1"/>
    <w:rsid w:val="004D2078"/>
    <w:rsid w:val="004D2A50"/>
    <w:rsid w:val="004D349C"/>
    <w:rsid w:val="004D3643"/>
    <w:rsid w:val="004D419A"/>
    <w:rsid w:val="004D4540"/>
    <w:rsid w:val="004D4E8B"/>
    <w:rsid w:val="004D5026"/>
    <w:rsid w:val="004D52D2"/>
    <w:rsid w:val="004D53D6"/>
    <w:rsid w:val="004D611D"/>
    <w:rsid w:val="004D6EA8"/>
    <w:rsid w:val="004D7E56"/>
    <w:rsid w:val="004E0E46"/>
    <w:rsid w:val="004E19A4"/>
    <w:rsid w:val="004E1B3F"/>
    <w:rsid w:val="004E213A"/>
    <w:rsid w:val="004E2948"/>
    <w:rsid w:val="004E2D58"/>
    <w:rsid w:val="004E339C"/>
    <w:rsid w:val="004E37B5"/>
    <w:rsid w:val="004E3A8E"/>
    <w:rsid w:val="004E3B73"/>
    <w:rsid w:val="004E4416"/>
    <w:rsid w:val="004E49C5"/>
    <w:rsid w:val="004E516F"/>
    <w:rsid w:val="004E51F2"/>
    <w:rsid w:val="004E5238"/>
    <w:rsid w:val="004E5BFC"/>
    <w:rsid w:val="004E617D"/>
    <w:rsid w:val="004E6304"/>
    <w:rsid w:val="004E7460"/>
    <w:rsid w:val="004E754F"/>
    <w:rsid w:val="004E7F58"/>
    <w:rsid w:val="004F01CD"/>
    <w:rsid w:val="004F1124"/>
    <w:rsid w:val="004F15E8"/>
    <w:rsid w:val="004F1EA4"/>
    <w:rsid w:val="004F20E3"/>
    <w:rsid w:val="004F268C"/>
    <w:rsid w:val="004F2801"/>
    <w:rsid w:val="004F2AB0"/>
    <w:rsid w:val="004F2CD1"/>
    <w:rsid w:val="004F3F8E"/>
    <w:rsid w:val="004F4117"/>
    <w:rsid w:val="004F47E1"/>
    <w:rsid w:val="004F4D27"/>
    <w:rsid w:val="004F4E7B"/>
    <w:rsid w:val="004F570E"/>
    <w:rsid w:val="004F6205"/>
    <w:rsid w:val="004F6EEA"/>
    <w:rsid w:val="004F751D"/>
    <w:rsid w:val="004F7F62"/>
    <w:rsid w:val="00500072"/>
    <w:rsid w:val="00500C18"/>
    <w:rsid w:val="0050117E"/>
    <w:rsid w:val="005015D0"/>
    <w:rsid w:val="005016C7"/>
    <w:rsid w:val="005017E6"/>
    <w:rsid w:val="0050282B"/>
    <w:rsid w:val="0050378E"/>
    <w:rsid w:val="005038EA"/>
    <w:rsid w:val="0050419A"/>
    <w:rsid w:val="005058F5"/>
    <w:rsid w:val="00505C7F"/>
    <w:rsid w:val="005066ED"/>
    <w:rsid w:val="00506956"/>
    <w:rsid w:val="00507006"/>
    <w:rsid w:val="005100AC"/>
    <w:rsid w:val="00510BFA"/>
    <w:rsid w:val="0051122D"/>
    <w:rsid w:val="0051197A"/>
    <w:rsid w:val="00512535"/>
    <w:rsid w:val="00512A19"/>
    <w:rsid w:val="00512A2B"/>
    <w:rsid w:val="00513EAF"/>
    <w:rsid w:val="005146E7"/>
    <w:rsid w:val="00514978"/>
    <w:rsid w:val="00514CD3"/>
    <w:rsid w:val="00515488"/>
    <w:rsid w:val="005160F0"/>
    <w:rsid w:val="00516945"/>
    <w:rsid w:val="00517AA2"/>
    <w:rsid w:val="00517BDA"/>
    <w:rsid w:val="00520553"/>
    <w:rsid w:val="00520AA5"/>
    <w:rsid w:val="00521B82"/>
    <w:rsid w:val="00521EDD"/>
    <w:rsid w:val="0052219E"/>
    <w:rsid w:val="0052360E"/>
    <w:rsid w:val="0052369A"/>
    <w:rsid w:val="0052405F"/>
    <w:rsid w:val="00524333"/>
    <w:rsid w:val="00524588"/>
    <w:rsid w:val="005245E8"/>
    <w:rsid w:val="005251B5"/>
    <w:rsid w:val="00525452"/>
    <w:rsid w:val="005257A3"/>
    <w:rsid w:val="005258EE"/>
    <w:rsid w:val="005259E5"/>
    <w:rsid w:val="00525B8C"/>
    <w:rsid w:val="005265B4"/>
    <w:rsid w:val="00526D51"/>
    <w:rsid w:val="0053023E"/>
    <w:rsid w:val="005312A4"/>
    <w:rsid w:val="00532C4B"/>
    <w:rsid w:val="00533FB5"/>
    <w:rsid w:val="0053415E"/>
    <w:rsid w:val="005347A6"/>
    <w:rsid w:val="005348B7"/>
    <w:rsid w:val="0053535C"/>
    <w:rsid w:val="005356E5"/>
    <w:rsid w:val="00535F0E"/>
    <w:rsid w:val="00535F58"/>
    <w:rsid w:val="0053645A"/>
    <w:rsid w:val="00536D6D"/>
    <w:rsid w:val="00537239"/>
    <w:rsid w:val="00537598"/>
    <w:rsid w:val="005379DA"/>
    <w:rsid w:val="00537CCE"/>
    <w:rsid w:val="00537EDB"/>
    <w:rsid w:val="005405FC"/>
    <w:rsid w:val="00540B83"/>
    <w:rsid w:val="00540C9F"/>
    <w:rsid w:val="00540EA3"/>
    <w:rsid w:val="0054104F"/>
    <w:rsid w:val="0054157F"/>
    <w:rsid w:val="00541A05"/>
    <w:rsid w:val="00541BA9"/>
    <w:rsid w:val="005427BE"/>
    <w:rsid w:val="0054283A"/>
    <w:rsid w:val="00542863"/>
    <w:rsid w:val="005429A6"/>
    <w:rsid w:val="00542BB6"/>
    <w:rsid w:val="005433ED"/>
    <w:rsid w:val="005436E2"/>
    <w:rsid w:val="00543973"/>
    <w:rsid w:val="0054430C"/>
    <w:rsid w:val="005444C0"/>
    <w:rsid w:val="00544ADD"/>
    <w:rsid w:val="00544CA4"/>
    <w:rsid w:val="00544DD1"/>
    <w:rsid w:val="005467DB"/>
    <w:rsid w:val="005468B5"/>
    <w:rsid w:val="005476E2"/>
    <w:rsid w:val="005478A3"/>
    <w:rsid w:val="0054796D"/>
    <w:rsid w:val="005509C4"/>
    <w:rsid w:val="00550B86"/>
    <w:rsid w:val="00550EC3"/>
    <w:rsid w:val="00550FDF"/>
    <w:rsid w:val="00551071"/>
    <w:rsid w:val="005510AC"/>
    <w:rsid w:val="0055136F"/>
    <w:rsid w:val="00552061"/>
    <w:rsid w:val="00553709"/>
    <w:rsid w:val="005538F1"/>
    <w:rsid w:val="00553DFA"/>
    <w:rsid w:val="0055442C"/>
    <w:rsid w:val="0055489B"/>
    <w:rsid w:val="005564B9"/>
    <w:rsid w:val="00557A49"/>
    <w:rsid w:val="00557DBF"/>
    <w:rsid w:val="005603F8"/>
    <w:rsid w:val="005605BA"/>
    <w:rsid w:val="00560AE3"/>
    <w:rsid w:val="00561041"/>
    <w:rsid w:val="00561F7E"/>
    <w:rsid w:val="00562113"/>
    <w:rsid w:val="00562FAB"/>
    <w:rsid w:val="005639E6"/>
    <w:rsid w:val="00563D80"/>
    <w:rsid w:val="005644B9"/>
    <w:rsid w:val="005648B8"/>
    <w:rsid w:val="0056518B"/>
    <w:rsid w:val="00565802"/>
    <w:rsid w:val="00566123"/>
    <w:rsid w:val="005678FA"/>
    <w:rsid w:val="0057169D"/>
    <w:rsid w:val="00571C60"/>
    <w:rsid w:val="00571F45"/>
    <w:rsid w:val="00572224"/>
    <w:rsid w:val="00573872"/>
    <w:rsid w:val="00574982"/>
    <w:rsid w:val="00575012"/>
    <w:rsid w:val="00575387"/>
    <w:rsid w:val="00575E21"/>
    <w:rsid w:val="005762DA"/>
    <w:rsid w:val="005767E9"/>
    <w:rsid w:val="00576B4A"/>
    <w:rsid w:val="00577016"/>
    <w:rsid w:val="0057707B"/>
    <w:rsid w:val="00577282"/>
    <w:rsid w:val="005773AA"/>
    <w:rsid w:val="00577920"/>
    <w:rsid w:val="00577AB9"/>
    <w:rsid w:val="00580B06"/>
    <w:rsid w:val="00580F3E"/>
    <w:rsid w:val="00581526"/>
    <w:rsid w:val="00581F8B"/>
    <w:rsid w:val="00582BFA"/>
    <w:rsid w:val="005831D1"/>
    <w:rsid w:val="005836F2"/>
    <w:rsid w:val="00583721"/>
    <w:rsid w:val="00584470"/>
    <w:rsid w:val="005848D6"/>
    <w:rsid w:val="00584E90"/>
    <w:rsid w:val="00585011"/>
    <w:rsid w:val="0058568B"/>
    <w:rsid w:val="00585925"/>
    <w:rsid w:val="005865D6"/>
    <w:rsid w:val="00586A54"/>
    <w:rsid w:val="005874CD"/>
    <w:rsid w:val="00590322"/>
    <w:rsid w:val="0059043A"/>
    <w:rsid w:val="0059053F"/>
    <w:rsid w:val="00590BB4"/>
    <w:rsid w:val="00590C64"/>
    <w:rsid w:val="00590CB2"/>
    <w:rsid w:val="00590E14"/>
    <w:rsid w:val="00590EB0"/>
    <w:rsid w:val="0059144F"/>
    <w:rsid w:val="00593AB8"/>
    <w:rsid w:val="00593F00"/>
    <w:rsid w:val="00595008"/>
    <w:rsid w:val="0059525C"/>
    <w:rsid w:val="00595595"/>
    <w:rsid w:val="00596BBD"/>
    <w:rsid w:val="00596E00"/>
    <w:rsid w:val="005A02A9"/>
    <w:rsid w:val="005A06AE"/>
    <w:rsid w:val="005A0CD8"/>
    <w:rsid w:val="005A1A1D"/>
    <w:rsid w:val="005A1C32"/>
    <w:rsid w:val="005A26ED"/>
    <w:rsid w:val="005A2B6B"/>
    <w:rsid w:val="005A36F8"/>
    <w:rsid w:val="005A465F"/>
    <w:rsid w:val="005A4A24"/>
    <w:rsid w:val="005A4C6F"/>
    <w:rsid w:val="005A4D89"/>
    <w:rsid w:val="005A5157"/>
    <w:rsid w:val="005A542A"/>
    <w:rsid w:val="005A5882"/>
    <w:rsid w:val="005A6ECA"/>
    <w:rsid w:val="005A7959"/>
    <w:rsid w:val="005B1007"/>
    <w:rsid w:val="005B1309"/>
    <w:rsid w:val="005B1938"/>
    <w:rsid w:val="005B1AF1"/>
    <w:rsid w:val="005B1F1E"/>
    <w:rsid w:val="005B2AEF"/>
    <w:rsid w:val="005B312E"/>
    <w:rsid w:val="005B33A5"/>
    <w:rsid w:val="005B33F7"/>
    <w:rsid w:val="005B3E4D"/>
    <w:rsid w:val="005B496E"/>
    <w:rsid w:val="005B4D89"/>
    <w:rsid w:val="005B5532"/>
    <w:rsid w:val="005B5A3A"/>
    <w:rsid w:val="005B5CB7"/>
    <w:rsid w:val="005B5DDC"/>
    <w:rsid w:val="005B6E21"/>
    <w:rsid w:val="005B6E77"/>
    <w:rsid w:val="005B78E7"/>
    <w:rsid w:val="005C0A50"/>
    <w:rsid w:val="005C0F30"/>
    <w:rsid w:val="005C1005"/>
    <w:rsid w:val="005C1A41"/>
    <w:rsid w:val="005C2380"/>
    <w:rsid w:val="005C291D"/>
    <w:rsid w:val="005C29FE"/>
    <w:rsid w:val="005C2A88"/>
    <w:rsid w:val="005C3506"/>
    <w:rsid w:val="005C38A2"/>
    <w:rsid w:val="005C3CCC"/>
    <w:rsid w:val="005C40B2"/>
    <w:rsid w:val="005C4210"/>
    <w:rsid w:val="005C4A3E"/>
    <w:rsid w:val="005C4F4F"/>
    <w:rsid w:val="005C533C"/>
    <w:rsid w:val="005C55A4"/>
    <w:rsid w:val="005C57E8"/>
    <w:rsid w:val="005C605E"/>
    <w:rsid w:val="005C60A8"/>
    <w:rsid w:val="005C69CD"/>
    <w:rsid w:val="005C6DE7"/>
    <w:rsid w:val="005C6E80"/>
    <w:rsid w:val="005C70AE"/>
    <w:rsid w:val="005C780D"/>
    <w:rsid w:val="005C7E11"/>
    <w:rsid w:val="005D05A7"/>
    <w:rsid w:val="005D064E"/>
    <w:rsid w:val="005D0BB0"/>
    <w:rsid w:val="005D1110"/>
    <w:rsid w:val="005D1476"/>
    <w:rsid w:val="005D1DA5"/>
    <w:rsid w:val="005D25CA"/>
    <w:rsid w:val="005D4072"/>
    <w:rsid w:val="005D4A72"/>
    <w:rsid w:val="005D4C30"/>
    <w:rsid w:val="005D4C6A"/>
    <w:rsid w:val="005D5228"/>
    <w:rsid w:val="005D65E0"/>
    <w:rsid w:val="005D6A36"/>
    <w:rsid w:val="005D7111"/>
    <w:rsid w:val="005D7A88"/>
    <w:rsid w:val="005E0547"/>
    <w:rsid w:val="005E08A1"/>
    <w:rsid w:val="005E0A47"/>
    <w:rsid w:val="005E0C54"/>
    <w:rsid w:val="005E0D86"/>
    <w:rsid w:val="005E0DE0"/>
    <w:rsid w:val="005E1293"/>
    <w:rsid w:val="005E1773"/>
    <w:rsid w:val="005E408F"/>
    <w:rsid w:val="005E4A7A"/>
    <w:rsid w:val="005E5019"/>
    <w:rsid w:val="005E51B8"/>
    <w:rsid w:val="005E5E6D"/>
    <w:rsid w:val="005E601B"/>
    <w:rsid w:val="005E6505"/>
    <w:rsid w:val="005E6A3C"/>
    <w:rsid w:val="005E6A95"/>
    <w:rsid w:val="005E72BF"/>
    <w:rsid w:val="005F03F6"/>
    <w:rsid w:val="005F043E"/>
    <w:rsid w:val="005F0B96"/>
    <w:rsid w:val="005F10AF"/>
    <w:rsid w:val="005F1B38"/>
    <w:rsid w:val="005F1B55"/>
    <w:rsid w:val="005F1BF6"/>
    <w:rsid w:val="005F2098"/>
    <w:rsid w:val="005F2407"/>
    <w:rsid w:val="005F2B2D"/>
    <w:rsid w:val="005F3893"/>
    <w:rsid w:val="005F3D55"/>
    <w:rsid w:val="005F42BB"/>
    <w:rsid w:val="005F43D6"/>
    <w:rsid w:val="005F45DB"/>
    <w:rsid w:val="005F4735"/>
    <w:rsid w:val="005F4F28"/>
    <w:rsid w:val="005F56E5"/>
    <w:rsid w:val="005F57F7"/>
    <w:rsid w:val="005F5963"/>
    <w:rsid w:val="005F5D39"/>
    <w:rsid w:val="005F6585"/>
    <w:rsid w:val="005F78D9"/>
    <w:rsid w:val="005F7EAB"/>
    <w:rsid w:val="0060013D"/>
    <w:rsid w:val="0060098E"/>
    <w:rsid w:val="00600CD9"/>
    <w:rsid w:val="00601019"/>
    <w:rsid w:val="00601034"/>
    <w:rsid w:val="006015FD"/>
    <w:rsid w:val="00601638"/>
    <w:rsid w:val="0060226F"/>
    <w:rsid w:val="0060228F"/>
    <w:rsid w:val="006023C9"/>
    <w:rsid w:val="00602AD9"/>
    <w:rsid w:val="006032DE"/>
    <w:rsid w:val="006034FD"/>
    <w:rsid w:val="006039AF"/>
    <w:rsid w:val="00605322"/>
    <w:rsid w:val="0060563A"/>
    <w:rsid w:val="0060751D"/>
    <w:rsid w:val="0060768D"/>
    <w:rsid w:val="006076A6"/>
    <w:rsid w:val="00607E6C"/>
    <w:rsid w:val="00607FC4"/>
    <w:rsid w:val="00610460"/>
    <w:rsid w:val="006107D6"/>
    <w:rsid w:val="00611FD0"/>
    <w:rsid w:val="00612096"/>
    <w:rsid w:val="00612449"/>
    <w:rsid w:val="006126DD"/>
    <w:rsid w:val="00612B88"/>
    <w:rsid w:val="006133BB"/>
    <w:rsid w:val="00614682"/>
    <w:rsid w:val="0061477E"/>
    <w:rsid w:val="006148AC"/>
    <w:rsid w:val="0061522C"/>
    <w:rsid w:val="006153E1"/>
    <w:rsid w:val="00615C1B"/>
    <w:rsid w:val="00615F59"/>
    <w:rsid w:val="00616764"/>
    <w:rsid w:val="006168CD"/>
    <w:rsid w:val="006168FA"/>
    <w:rsid w:val="00617E0F"/>
    <w:rsid w:val="00620891"/>
    <w:rsid w:val="0062098E"/>
    <w:rsid w:val="00620C7B"/>
    <w:rsid w:val="00620DF9"/>
    <w:rsid w:val="00622B38"/>
    <w:rsid w:val="00622EBC"/>
    <w:rsid w:val="0062333B"/>
    <w:rsid w:val="006237FB"/>
    <w:rsid w:val="00623A7D"/>
    <w:rsid w:val="00624106"/>
    <w:rsid w:val="00624433"/>
    <w:rsid w:val="00625084"/>
    <w:rsid w:val="00625B2A"/>
    <w:rsid w:val="0062652D"/>
    <w:rsid w:val="00626C82"/>
    <w:rsid w:val="00626D84"/>
    <w:rsid w:val="00626DC4"/>
    <w:rsid w:val="00627565"/>
    <w:rsid w:val="00627648"/>
    <w:rsid w:val="006313C6"/>
    <w:rsid w:val="00631623"/>
    <w:rsid w:val="00631A1D"/>
    <w:rsid w:val="00631B79"/>
    <w:rsid w:val="00631BC8"/>
    <w:rsid w:val="00631D7E"/>
    <w:rsid w:val="006338BF"/>
    <w:rsid w:val="00633F28"/>
    <w:rsid w:val="00635514"/>
    <w:rsid w:val="0063587E"/>
    <w:rsid w:val="006358E3"/>
    <w:rsid w:val="00635E12"/>
    <w:rsid w:val="00635E59"/>
    <w:rsid w:val="0063606B"/>
    <w:rsid w:val="00636202"/>
    <w:rsid w:val="0063635C"/>
    <w:rsid w:val="00636BA6"/>
    <w:rsid w:val="006370E6"/>
    <w:rsid w:val="00637BDA"/>
    <w:rsid w:val="00637DD2"/>
    <w:rsid w:val="0064020A"/>
    <w:rsid w:val="0064097B"/>
    <w:rsid w:val="00640C68"/>
    <w:rsid w:val="00641E83"/>
    <w:rsid w:val="00641F06"/>
    <w:rsid w:val="00641F65"/>
    <w:rsid w:val="0064237F"/>
    <w:rsid w:val="006423D9"/>
    <w:rsid w:val="00642904"/>
    <w:rsid w:val="00642AD3"/>
    <w:rsid w:val="00642E88"/>
    <w:rsid w:val="006443E5"/>
    <w:rsid w:val="006444E0"/>
    <w:rsid w:val="006447A4"/>
    <w:rsid w:val="006448D5"/>
    <w:rsid w:val="00645484"/>
    <w:rsid w:val="00645EEF"/>
    <w:rsid w:val="00646174"/>
    <w:rsid w:val="0064618C"/>
    <w:rsid w:val="006466F6"/>
    <w:rsid w:val="00650361"/>
    <w:rsid w:val="006513AD"/>
    <w:rsid w:val="00651DE6"/>
    <w:rsid w:val="0065212F"/>
    <w:rsid w:val="00652184"/>
    <w:rsid w:val="00652817"/>
    <w:rsid w:val="0065317B"/>
    <w:rsid w:val="00653199"/>
    <w:rsid w:val="00653AB2"/>
    <w:rsid w:val="00654963"/>
    <w:rsid w:val="0065590A"/>
    <w:rsid w:val="00655CAF"/>
    <w:rsid w:val="00657110"/>
    <w:rsid w:val="00657F22"/>
    <w:rsid w:val="006600CC"/>
    <w:rsid w:val="00660C33"/>
    <w:rsid w:val="006612E1"/>
    <w:rsid w:val="006618CE"/>
    <w:rsid w:val="0066197E"/>
    <w:rsid w:val="00661B7D"/>
    <w:rsid w:val="00661C90"/>
    <w:rsid w:val="00663BD9"/>
    <w:rsid w:val="006658E8"/>
    <w:rsid w:val="006662E2"/>
    <w:rsid w:val="0066659F"/>
    <w:rsid w:val="00666BC9"/>
    <w:rsid w:val="00666D75"/>
    <w:rsid w:val="00666F0F"/>
    <w:rsid w:val="00667B52"/>
    <w:rsid w:val="00670948"/>
    <w:rsid w:val="00670B1C"/>
    <w:rsid w:val="00670FA0"/>
    <w:rsid w:val="006720AE"/>
    <w:rsid w:val="00672D3F"/>
    <w:rsid w:val="00673B49"/>
    <w:rsid w:val="00673F88"/>
    <w:rsid w:val="006740B3"/>
    <w:rsid w:val="00674606"/>
    <w:rsid w:val="00674660"/>
    <w:rsid w:val="00674D06"/>
    <w:rsid w:val="0067508A"/>
    <w:rsid w:val="0067522D"/>
    <w:rsid w:val="00675882"/>
    <w:rsid w:val="00675CB9"/>
    <w:rsid w:val="006766E2"/>
    <w:rsid w:val="00676A27"/>
    <w:rsid w:val="0067743E"/>
    <w:rsid w:val="00677A81"/>
    <w:rsid w:val="0068045F"/>
    <w:rsid w:val="00680A5D"/>
    <w:rsid w:val="0068139A"/>
    <w:rsid w:val="006815ED"/>
    <w:rsid w:val="00681DE2"/>
    <w:rsid w:val="0068209B"/>
    <w:rsid w:val="006836CF"/>
    <w:rsid w:val="006838FA"/>
    <w:rsid w:val="00684867"/>
    <w:rsid w:val="006850CE"/>
    <w:rsid w:val="006852CF"/>
    <w:rsid w:val="00685316"/>
    <w:rsid w:val="00685465"/>
    <w:rsid w:val="006859E6"/>
    <w:rsid w:val="00686455"/>
    <w:rsid w:val="00687C21"/>
    <w:rsid w:val="006902EE"/>
    <w:rsid w:val="0069082E"/>
    <w:rsid w:val="00691059"/>
    <w:rsid w:val="006911A8"/>
    <w:rsid w:val="00691CE9"/>
    <w:rsid w:val="00691E03"/>
    <w:rsid w:val="006924A1"/>
    <w:rsid w:val="006924AD"/>
    <w:rsid w:val="00693310"/>
    <w:rsid w:val="00693CA7"/>
    <w:rsid w:val="006943E4"/>
    <w:rsid w:val="00694723"/>
    <w:rsid w:val="0069492D"/>
    <w:rsid w:val="006955E0"/>
    <w:rsid w:val="00695900"/>
    <w:rsid w:val="00695C5D"/>
    <w:rsid w:val="00696469"/>
    <w:rsid w:val="0069657B"/>
    <w:rsid w:val="00696DB2"/>
    <w:rsid w:val="006979DD"/>
    <w:rsid w:val="006A01AB"/>
    <w:rsid w:val="006A02E2"/>
    <w:rsid w:val="006A0804"/>
    <w:rsid w:val="006A0F68"/>
    <w:rsid w:val="006A1042"/>
    <w:rsid w:val="006A112D"/>
    <w:rsid w:val="006A1738"/>
    <w:rsid w:val="006A1798"/>
    <w:rsid w:val="006A1D8A"/>
    <w:rsid w:val="006A2403"/>
    <w:rsid w:val="006A328D"/>
    <w:rsid w:val="006A32CF"/>
    <w:rsid w:val="006A348F"/>
    <w:rsid w:val="006A35FA"/>
    <w:rsid w:val="006A39C8"/>
    <w:rsid w:val="006A5282"/>
    <w:rsid w:val="006A563A"/>
    <w:rsid w:val="006A5D3A"/>
    <w:rsid w:val="006A6EA0"/>
    <w:rsid w:val="006A76AD"/>
    <w:rsid w:val="006B0284"/>
    <w:rsid w:val="006B0ECB"/>
    <w:rsid w:val="006B0F33"/>
    <w:rsid w:val="006B1482"/>
    <w:rsid w:val="006B189C"/>
    <w:rsid w:val="006B2D1F"/>
    <w:rsid w:val="006B3701"/>
    <w:rsid w:val="006B37AC"/>
    <w:rsid w:val="006B413C"/>
    <w:rsid w:val="006B48D3"/>
    <w:rsid w:val="006B4CB9"/>
    <w:rsid w:val="006B515E"/>
    <w:rsid w:val="006B5B2A"/>
    <w:rsid w:val="006B6250"/>
    <w:rsid w:val="006B74CD"/>
    <w:rsid w:val="006B7CD7"/>
    <w:rsid w:val="006B7D23"/>
    <w:rsid w:val="006B7DB0"/>
    <w:rsid w:val="006B7FD4"/>
    <w:rsid w:val="006C0561"/>
    <w:rsid w:val="006C0587"/>
    <w:rsid w:val="006C0CC4"/>
    <w:rsid w:val="006C0ECA"/>
    <w:rsid w:val="006C2900"/>
    <w:rsid w:val="006C299E"/>
    <w:rsid w:val="006C2CBA"/>
    <w:rsid w:val="006C2F47"/>
    <w:rsid w:val="006C3432"/>
    <w:rsid w:val="006C3540"/>
    <w:rsid w:val="006C3775"/>
    <w:rsid w:val="006C388D"/>
    <w:rsid w:val="006C3BE2"/>
    <w:rsid w:val="006C4091"/>
    <w:rsid w:val="006C424E"/>
    <w:rsid w:val="006C450E"/>
    <w:rsid w:val="006C5606"/>
    <w:rsid w:val="006C589E"/>
    <w:rsid w:val="006C646F"/>
    <w:rsid w:val="006C68D2"/>
    <w:rsid w:val="006C6B55"/>
    <w:rsid w:val="006C7414"/>
    <w:rsid w:val="006C7AD3"/>
    <w:rsid w:val="006D02FD"/>
    <w:rsid w:val="006D0AF3"/>
    <w:rsid w:val="006D1391"/>
    <w:rsid w:val="006D1AA8"/>
    <w:rsid w:val="006D1E3B"/>
    <w:rsid w:val="006D20A4"/>
    <w:rsid w:val="006D23AC"/>
    <w:rsid w:val="006D26D6"/>
    <w:rsid w:val="006D2769"/>
    <w:rsid w:val="006D4311"/>
    <w:rsid w:val="006D439F"/>
    <w:rsid w:val="006D44EA"/>
    <w:rsid w:val="006D549A"/>
    <w:rsid w:val="006D5555"/>
    <w:rsid w:val="006D5D78"/>
    <w:rsid w:val="006D694A"/>
    <w:rsid w:val="006D6F0C"/>
    <w:rsid w:val="006D6F7A"/>
    <w:rsid w:val="006E01D9"/>
    <w:rsid w:val="006E04FC"/>
    <w:rsid w:val="006E05E4"/>
    <w:rsid w:val="006E09C0"/>
    <w:rsid w:val="006E0A03"/>
    <w:rsid w:val="006E18BB"/>
    <w:rsid w:val="006E2B77"/>
    <w:rsid w:val="006E2CA6"/>
    <w:rsid w:val="006E362F"/>
    <w:rsid w:val="006E36BE"/>
    <w:rsid w:val="006E3ED7"/>
    <w:rsid w:val="006E3F56"/>
    <w:rsid w:val="006E51EE"/>
    <w:rsid w:val="006E5B63"/>
    <w:rsid w:val="006E5F6D"/>
    <w:rsid w:val="006E5F76"/>
    <w:rsid w:val="006E657B"/>
    <w:rsid w:val="006E68C2"/>
    <w:rsid w:val="006E6BDB"/>
    <w:rsid w:val="006E6F04"/>
    <w:rsid w:val="006E735A"/>
    <w:rsid w:val="006E7489"/>
    <w:rsid w:val="006E796B"/>
    <w:rsid w:val="006F0CB8"/>
    <w:rsid w:val="006F131F"/>
    <w:rsid w:val="006F1920"/>
    <w:rsid w:val="006F1DF3"/>
    <w:rsid w:val="006F2CFC"/>
    <w:rsid w:val="006F2D88"/>
    <w:rsid w:val="006F30CA"/>
    <w:rsid w:val="006F44FF"/>
    <w:rsid w:val="006F459F"/>
    <w:rsid w:val="006F4AC8"/>
    <w:rsid w:val="006F4B1E"/>
    <w:rsid w:val="006F4D83"/>
    <w:rsid w:val="006F5B6D"/>
    <w:rsid w:val="006F5DC8"/>
    <w:rsid w:val="006F6183"/>
    <w:rsid w:val="006F6322"/>
    <w:rsid w:val="006F663B"/>
    <w:rsid w:val="006F7227"/>
    <w:rsid w:val="006F7678"/>
    <w:rsid w:val="00700E65"/>
    <w:rsid w:val="007014FE"/>
    <w:rsid w:val="007015AA"/>
    <w:rsid w:val="0070162D"/>
    <w:rsid w:val="00702364"/>
    <w:rsid w:val="00702489"/>
    <w:rsid w:val="00702671"/>
    <w:rsid w:val="00703957"/>
    <w:rsid w:val="007045F1"/>
    <w:rsid w:val="00705702"/>
    <w:rsid w:val="0070606F"/>
    <w:rsid w:val="0070708A"/>
    <w:rsid w:val="00707610"/>
    <w:rsid w:val="00707B5D"/>
    <w:rsid w:val="00707DCB"/>
    <w:rsid w:val="00710604"/>
    <w:rsid w:val="007108BA"/>
    <w:rsid w:val="007117E4"/>
    <w:rsid w:val="00711B33"/>
    <w:rsid w:val="0071201E"/>
    <w:rsid w:val="0071281D"/>
    <w:rsid w:val="00712AE5"/>
    <w:rsid w:val="00712BA9"/>
    <w:rsid w:val="00712E52"/>
    <w:rsid w:val="007133F1"/>
    <w:rsid w:val="00713F8C"/>
    <w:rsid w:val="007140E4"/>
    <w:rsid w:val="007143F1"/>
    <w:rsid w:val="00714690"/>
    <w:rsid w:val="0071487A"/>
    <w:rsid w:val="007148B2"/>
    <w:rsid w:val="00714DA2"/>
    <w:rsid w:val="007153D0"/>
    <w:rsid w:val="00715863"/>
    <w:rsid w:val="00715C00"/>
    <w:rsid w:val="00715FB3"/>
    <w:rsid w:val="00716898"/>
    <w:rsid w:val="00716C35"/>
    <w:rsid w:val="00716D78"/>
    <w:rsid w:val="007173B7"/>
    <w:rsid w:val="00717554"/>
    <w:rsid w:val="00720521"/>
    <w:rsid w:val="00720546"/>
    <w:rsid w:val="007223A2"/>
    <w:rsid w:val="007228CE"/>
    <w:rsid w:val="00722F09"/>
    <w:rsid w:val="007238A7"/>
    <w:rsid w:val="00724003"/>
    <w:rsid w:val="007241DD"/>
    <w:rsid w:val="00724373"/>
    <w:rsid w:val="00724864"/>
    <w:rsid w:val="00724BCE"/>
    <w:rsid w:val="00725AEC"/>
    <w:rsid w:val="00725B7C"/>
    <w:rsid w:val="00726159"/>
    <w:rsid w:val="007268E0"/>
    <w:rsid w:val="00726F55"/>
    <w:rsid w:val="007273F7"/>
    <w:rsid w:val="007274DE"/>
    <w:rsid w:val="007275BC"/>
    <w:rsid w:val="0072793E"/>
    <w:rsid w:val="00727B6B"/>
    <w:rsid w:val="00730E40"/>
    <w:rsid w:val="00731218"/>
    <w:rsid w:val="00731BAA"/>
    <w:rsid w:val="00731BCC"/>
    <w:rsid w:val="00732556"/>
    <w:rsid w:val="00732884"/>
    <w:rsid w:val="00732B0A"/>
    <w:rsid w:val="00734A73"/>
    <w:rsid w:val="00734B8C"/>
    <w:rsid w:val="00734E08"/>
    <w:rsid w:val="00735571"/>
    <w:rsid w:val="0073592F"/>
    <w:rsid w:val="00736006"/>
    <w:rsid w:val="007362AA"/>
    <w:rsid w:val="007362DB"/>
    <w:rsid w:val="007363CF"/>
    <w:rsid w:val="00736DAD"/>
    <w:rsid w:val="00740430"/>
    <w:rsid w:val="007409A2"/>
    <w:rsid w:val="0074111C"/>
    <w:rsid w:val="0074204E"/>
    <w:rsid w:val="007421D6"/>
    <w:rsid w:val="00742642"/>
    <w:rsid w:val="007429CC"/>
    <w:rsid w:val="00742D1C"/>
    <w:rsid w:val="007437FA"/>
    <w:rsid w:val="00743AA4"/>
    <w:rsid w:val="00743ADB"/>
    <w:rsid w:val="00743FE1"/>
    <w:rsid w:val="00744CA9"/>
    <w:rsid w:val="007453C1"/>
    <w:rsid w:val="007453F5"/>
    <w:rsid w:val="0074578B"/>
    <w:rsid w:val="00746CD1"/>
    <w:rsid w:val="00747D75"/>
    <w:rsid w:val="00750F86"/>
    <w:rsid w:val="00751B47"/>
    <w:rsid w:val="00751C57"/>
    <w:rsid w:val="00751F02"/>
    <w:rsid w:val="007524F5"/>
    <w:rsid w:val="00753048"/>
    <w:rsid w:val="00753E16"/>
    <w:rsid w:val="00753E99"/>
    <w:rsid w:val="00755D54"/>
    <w:rsid w:val="0075669A"/>
    <w:rsid w:val="00756782"/>
    <w:rsid w:val="00757C20"/>
    <w:rsid w:val="00757EB6"/>
    <w:rsid w:val="007600F2"/>
    <w:rsid w:val="00760267"/>
    <w:rsid w:val="007603F5"/>
    <w:rsid w:val="00761AE5"/>
    <w:rsid w:val="007628BF"/>
    <w:rsid w:val="007638AC"/>
    <w:rsid w:val="00763C5D"/>
    <w:rsid w:val="007641C9"/>
    <w:rsid w:val="00764515"/>
    <w:rsid w:val="00764856"/>
    <w:rsid w:val="0076511A"/>
    <w:rsid w:val="0076573C"/>
    <w:rsid w:val="00765DB7"/>
    <w:rsid w:val="00766E5E"/>
    <w:rsid w:val="00767441"/>
    <w:rsid w:val="007674D9"/>
    <w:rsid w:val="00767D32"/>
    <w:rsid w:val="00767F15"/>
    <w:rsid w:val="00767F8A"/>
    <w:rsid w:val="0077076A"/>
    <w:rsid w:val="00770FAD"/>
    <w:rsid w:val="007717A9"/>
    <w:rsid w:val="007717D5"/>
    <w:rsid w:val="00771B47"/>
    <w:rsid w:val="0077244B"/>
    <w:rsid w:val="0077252D"/>
    <w:rsid w:val="00772CE5"/>
    <w:rsid w:val="0077301F"/>
    <w:rsid w:val="00773135"/>
    <w:rsid w:val="007735A0"/>
    <w:rsid w:val="00774B5A"/>
    <w:rsid w:val="00774F65"/>
    <w:rsid w:val="00775321"/>
    <w:rsid w:val="0077580C"/>
    <w:rsid w:val="00775E58"/>
    <w:rsid w:val="007768C8"/>
    <w:rsid w:val="00776D34"/>
    <w:rsid w:val="00777CB5"/>
    <w:rsid w:val="007805D9"/>
    <w:rsid w:val="00780F94"/>
    <w:rsid w:val="00781867"/>
    <w:rsid w:val="007818AB"/>
    <w:rsid w:val="00781A18"/>
    <w:rsid w:val="00781FD8"/>
    <w:rsid w:val="007821D0"/>
    <w:rsid w:val="007830B0"/>
    <w:rsid w:val="007830C4"/>
    <w:rsid w:val="00783222"/>
    <w:rsid w:val="00783780"/>
    <w:rsid w:val="00783EAB"/>
    <w:rsid w:val="007842DD"/>
    <w:rsid w:val="0078489A"/>
    <w:rsid w:val="00785205"/>
    <w:rsid w:val="007857AE"/>
    <w:rsid w:val="00786DF7"/>
    <w:rsid w:val="00786FF6"/>
    <w:rsid w:val="00787109"/>
    <w:rsid w:val="0079027B"/>
    <w:rsid w:val="00790869"/>
    <w:rsid w:val="00790C87"/>
    <w:rsid w:val="007919B1"/>
    <w:rsid w:val="00791AB1"/>
    <w:rsid w:val="00792257"/>
    <w:rsid w:val="00792C0B"/>
    <w:rsid w:val="00794005"/>
    <w:rsid w:val="007942A8"/>
    <w:rsid w:val="007945B2"/>
    <w:rsid w:val="00794B02"/>
    <w:rsid w:val="00794F6B"/>
    <w:rsid w:val="00795A89"/>
    <w:rsid w:val="00795B19"/>
    <w:rsid w:val="00795BD9"/>
    <w:rsid w:val="00795F4F"/>
    <w:rsid w:val="00796E80"/>
    <w:rsid w:val="007971CD"/>
    <w:rsid w:val="00797FA3"/>
    <w:rsid w:val="007A0760"/>
    <w:rsid w:val="007A09C7"/>
    <w:rsid w:val="007A0D89"/>
    <w:rsid w:val="007A0EA1"/>
    <w:rsid w:val="007A10FF"/>
    <w:rsid w:val="007A17F6"/>
    <w:rsid w:val="007A1AD9"/>
    <w:rsid w:val="007A2873"/>
    <w:rsid w:val="007A2A2A"/>
    <w:rsid w:val="007A2BD9"/>
    <w:rsid w:val="007A2E9E"/>
    <w:rsid w:val="007A324D"/>
    <w:rsid w:val="007A3F63"/>
    <w:rsid w:val="007A4042"/>
    <w:rsid w:val="007A41D0"/>
    <w:rsid w:val="007A41E3"/>
    <w:rsid w:val="007A4B63"/>
    <w:rsid w:val="007A53FB"/>
    <w:rsid w:val="007A5942"/>
    <w:rsid w:val="007A7611"/>
    <w:rsid w:val="007A7920"/>
    <w:rsid w:val="007A7AD9"/>
    <w:rsid w:val="007A7DFC"/>
    <w:rsid w:val="007B0A67"/>
    <w:rsid w:val="007B0B95"/>
    <w:rsid w:val="007B0E58"/>
    <w:rsid w:val="007B1532"/>
    <w:rsid w:val="007B1B35"/>
    <w:rsid w:val="007B1ECC"/>
    <w:rsid w:val="007B2374"/>
    <w:rsid w:val="007B2841"/>
    <w:rsid w:val="007B293C"/>
    <w:rsid w:val="007B2C1C"/>
    <w:rsid w:val="007B2E5A"/>
    <w:rsid w:val="007B3201"/>
    <w:rsid w:val="007B3AD3"/>
    <w:rsid w:val="007B4753"/>
    <w:rsid w:val="007B47C2"/>
    <w:rsid w:val="007B4AFD"/>
    <w:rsid w:val="007B4CC1"/>
    <w:rsid w:val="007B4F22"/>
    <w:rsid w:val="007B6165"/>
    <w:rsid w:val="007B6778"/>
    <w:rsid w:val="007B683A"/>
    <w:rsid w:val="007B6AE7"/>
    <w:rsid w:val="007B6D00"/>
    <w:rsid w:val="007B71AE"/>
    <w:rsid w:val="007B72FD"/>
    <w:rsid w:val="007B784B"/>
    <w:rsid w:val="007B78AB"/>
    <w:rsid w:val="007B7D54"/>
    <w:rsid w:val="007C032B"/>
    <w:rsid w:val="007C05B5"/>
    <w:rsid w:val="007C0937"/>
    <w:rsid w:val="007C0C6B"/>
    <w:rsid w:val="007C13B4"/>
    <w:rsid w:val="007C151A"/>
    <w:rsid w:val="007C155E"/>
    <w:rsid w:val="007C194F"/>
    <w:rsid w:val="007C2319"/>
    <w:rsid w:val="007C2A37"/>
    <w:rsid w:val="007C2AD8"/>
    <w:rsid w:val="007C37E1"/>
    <w:rsid w:val="007C456D"/>
    <w:rsid w:val="007C4DDE"/>
    <w:rsid w:val="007C5106"/>
    <w:rsid w:val="007C5521"/>
    <w:rsid w:val="007C5912"/>
    <w:rsid w:val="007C6739"/>
    <w:rsid w:val="007C6893"/>
    <w:rsid w:val="007C6FDE"/>
    <w:rsid w:val="007C70CA"/>
    <w:rsid w:val="007C723D"/>
    <w:rsid w:val="007C7DAC"/>
    <w:rsid w:val="007D07DA"/>
    <w:rsid w:val="007D0963"/>
    <w:rsid w:val="007D09D4"/>
    <w:rsid w:val="007D1924"/>
    <w:rsid w:val="007D1E1D"/>
    <w:rsid w:val="007D1FF5"/>
    <w:rsid w:val="007D247E"/>
    <w:rsid w:val="007D330E"/>
    <w:rsid w:val="007D38F4"/>
    <w:rsid w:val="007D4754"/>
    <w:rsid w:val="007D4A0A"/>
    <w:rsid w:val="007D4C7C"/>
    <w:rsid w:val="007D5B29"/>
    <w:rsid w:val="007D6745"/>
    <w:rsid w:val="007D6A0C"/>
    <w:rsid w:val="007D6B2D"/>
    <w:rsid w:val="007D6E74"/>
    <w:rsid w:val="007D7052"/>
    <w:rsid w:val="007D71B6"/>
    <w:rsid w:val="007E0EB8"/>
    <w:rsid w:val="007E1286"/>
    <w:rsid w:val="007E1DC5"/>
    <w:rsid w:val="007E2272"/>
    <w:rsid w:val="007E25AD"/>
    <w:rsid w:val="007E2C5D"/>
    <w:rsid w:val="007E350C"/>
    <w:rsid w:val="007E3EF5"/>
    <w:rsid w:val="007E4078"/>
    <w:rsid w:val="007E4C38"/>
    <w:rsid w:val="007E4E30"/>
    <w:rsid w:val="007E4EA1"/>
    <w:rsid w:val="007E5647"/>
    <w:rsid w:val="007E5CEA"/>
    <w:rsid w:val="007E5FFA"/>
    <w:rsid w:val="007E631B"/>
    <w:rsid w:val="007E709F"/>
    <w:rsid w:val="007E719A"/>
    <w:rsid w:val="007E71C0"/>
    <w:rsid w:val="007E7ADD"/>
    <w:rsid w:val="007F02EC"/>
    <w:rsid w:val="007F12D3"/>
    <w:rsid w:val="007F1C1B"/>
    <w:rsid w:val="007F2309"/>
    <w:rsid w:val="007F37A5"/>
    <w:rsid w:val="007F37E1"/>
    <w:rsid w:val="007F3BD2"/>
    <w:rsid w:val="007F4024"/>
    <w:rsid w:val="007F4533"/>
    <w:rsid w:val="007F4BF2"/>
    <w:rsid w:val="007F54BF"/>
    <w:rsid w:val="007F5A64"/>
    <w:rsid w:val="007F6DCB"/>
    <w:rsid w:val="007F72BD"/>
    <w:rsid w:val="007F737E"/>
    <w:rsid w:val="00800E03"/>
    <w:rsid w:val="00800F35"/>
    <w:rsid w:val="008011C1"/>
    <w:rsid w:val="00802C53"/>
    <w:rsid w:val="00802F1B"/>
    <w:rsid w:val="008030B0"/>
    <w:rsid w:val="00803278"/>
    <w:rsid w:val="008038D8"/>
    <w:rsid w:val="00803AED"/>
    <w:rsid w:val="00803C8E"/>
    <w:rsid w:val="00803DA2"/>
    <w:rsid w:val="00803FAC"/>
    <w:rsid w:val="008044AD"/>
    <w:rsid w:val="0080498A"/>
    <w:rsid w:val="0080504A"/>
    <w:rsid w:val="00805CBB"/>
    <w:rsid w:val="0080613B"/>
    <w:rsid w:val="00806542"/>
    <w:rsid w:val="008065BA"/>
    <w:rsid w:val="008073A5"/>
    <w:rsid w:val="00807A1A"/>
    <w:rsid w:val="00807A6C"/>
    <w:rsid w:val="00810A65"/>
    <w:rsid w:val="008115A3"/>
    <w:rsid w:val="00811A75"/>
    <w:rsid w:val="00812185"/>
    <w:rsid w:val="00812FFE"/>
    <w:rsid w:val="00813254"/>
    <w:rsid w:val="0081351F"/>
    <w:rsid w:val="008142B5"/>
    <w:rsid w:val="008143F6"/>
    <w:rsid w:val="0081467D"/>
    <w:rsid w:val="00814771"/>
    <w:rsid w:val="008150D1"/>
    <w:rsid w:val="008154BC"/>
    <w:rsid w:val="00816747"/>
    <w:rsid w:val="00816834"/>
    <w:rsid w:val="0081754B"/>
    <w:rsid w:val="00817B86"/>
    <w:rsid w:val="00817BA9"/>
    <w:rsid w:val="00817BC4"/>
    <w:rsid w:val="00817DC3"/>
    <w:rsid w:val="0082155B"/>
    <w:rsid w:val="00821EE9"/>
    <w:rsid w:val="00822667"/>
    <w:rsid w:val="00822C9D"/>
    <w:rsid w:val="0082310B"/>
    <w:rsid w:val="00823C5A"/>
    <w:rsid w:val="008245DF"/>
    <w:rsid w:val="008251C9"/>
    <w:rsid w:val="008258A9"/>
    <w:rsid w:val="00825EA0"/>
    <w:rsid w:val="008264AB"/>
    <w:rsid w:val="00826E2D"/>
    <w:rsid w:val="00826F70"/>
    <w:rsid w:val="00831182"/>
    <w:rsid w:val="00831946"/>
    <w:rsid w:val="00831BEF"/>
    <w:rsid w:val="00832514"/>
    <w:rsid w:val="00832B30"/>
    <w:rsid w:val="00832F02"/>
    <w:rsid w:val="008345A0"/>
    <w:rsid w:val="00834C4D"/>
    <w:rsid w:val="0083536D"/>
    <w:rsid w:val="008356E7"/>
    <w:rsid w:val="008374FA"/>
    <w:rsid w:val="00837628"/>
    <w:rsid w:val="00837DD6"/>
    <w:rsid w:val="00840055"/>
    <w:rsid w:val="00840222"/>
    <w:rsid w:val="00840A2F"/>
    <w:rsid w:val="00840E20"/>
    <w:rsid w:val="008413BF"/>
    <w:rsid w:val="0084164A"/>
    <w:rsid w:val="008416AC"/>
    <w:rsid w:val="00841758"/>
    <w:rsid w:val="00841C2B"/>
    <w:rsid w:val="00842161"/>
    <w:rsid w:val="00842980"/>
    <w:rsid w:val="008430C5"/>
    <w:rsid w:val="00843AD2"/>
    <w:rsid w:val="00843B27"/>
    <w:rsid w:val="00844145"/>
    <w:rsid w:val="00844612"/>
    <w:rsid w:val="00844C9B"/>
    <w:rsid w:val="0084529C"/>
    <w:rsid w:val="0084589E"/>
    <w:rsid w:val="00845E13"/>
    <w:rsid w:val="008462D0"/>
    <w:rsid w:val="00846CDF"/>
    <w:rsid w:val="00847016"/>
    <w:rsid w:val="008475C4"/>
    <w:rsid w:val="00847686"/>
    <w:rsid w:val="00850138"/>
    <w:rsid w:val="008507C8"/>
    <w:rsid w:val="00851B0A"/>
    <w:rsid w:val="00852AA9"/>
    <w:rsid w:val="008535CC"/>
    <w:rsid w:val="0085369D"/>
    <w:rsid w:val="00853A12"/>
    <w:rsid w:val="00853A6B"/>
    <w:rsid w:val="00853D13"/>
    <w:rsid w:val="00853EDF"/>
    <w:rsid w:val="00853F14"/>
    <w:rsid w:val="008540AE"/>
    <w:rsid w:val="00854B2B"/>
    <w:rsid w:val="0085548A"/>
    <w:rsid w:val="00855A41"/>
    <w:rsid w:val="00857C17"/>
    <w:rsid w:val="0086020F"/>
    <w:rsid w:val="0086021D"/>
    <w:rsid w:val="008603EC"/>
    <w:rsid w:val="00860687"/>
    <w:rsid w:val="00861B63"/>
    <w:rsid w:val="00861C9F"/>
    <w:rsid w:val="00861CED"/>
    <w:rsid w:val="00861E5B"/>
    <w:rsid w:val="008624BB"/>
    <w:rsid w:val="00862F6D"/>
    <w:rsid w:val="008638CA"/>
    <w:rsid w:val="00863CB5"/>
    <w:rsid w:val="0086418F"/>
    <w:rsid w:val="0086443C"/>
    <w:rsid w:val="00864B23"/>
    <w:rsid w:val="00864DD1"/>
    <w:rsid w:val="008651A5"/>
    <w:rsid w:val="008655C7"/>
    <w:rsid w:val="00865DF3"/>
    <w:rsid w:val="00867528"/>
    <w:rsid w:val="0086780A"/>
    <w:rsid w:val="0086793B"/>
    <w:rsid w:val="00870026"/>
    <w:rsid w:val="008706D4"/>
    <w:rsid w:val="0087072C"/>
    <w:rsid w:val="00870A57"/>
    <w:rsid w:val="008712BA"/>
    <w:rsid w:val="00871800"/>
    <w:rsid w:val="00871B88"/>
    <w:rsid w:val="008727C2"/>
    <w:rsid w:val="00872875"/>
    <w:rsid w:val="00872E76"/>
    <w:rsid w:val="0087320A"/>
    <w:rsid w:val="00873285"/>
    <w:rsid w:val="00873C2A"/>
    <w:rsid w:val="008743FF"/>
    <w:rsid w:val="00874C05"/>
    <w:rsid w:val="00874F37"/>
    <w:rsid w:val="00874FD7"/>
    <w:rsid w:val="00874FE0"/>
    <w:rsid w:val="008750E0"/>
    <w:rsid w:val="00875AE7"/>
    <w:rsid w:val="00875BB2"/>
    <w:rsid w:val="008761DE"/>
    <w:rsid w:val="00876546"/>
    <w:rsid w:val="00876B95"/>
    <w:rsid w:val="0087711A"/>
    <w:rsid w:val="0087758B"/>
    <w:rsid w:val="00877775"/>
    <w:rsid w:val="00877C34"/>
    <w:rsid w:val="0088029B"/>
    <w:rsid w:val="008802FB"/>
    <w:rsid w:val="008809AF"/>
    <w:rsid w:val="00880EE1"/>
    <w:rsid w:val="008813FA"/>
    <w:rsid w:val="008820BA"/>
    <w:rsid w:val="0088255D"/>
    <w:rsid w:val="008829D1"/>
    <w:rsid w:val="00882CF4"/>
    <w:rsid w:val="0088397B"/>
    <w:rsid w:val="008841A0"/>
    <w:rsid w:val="008847B5"/>
    <w:rsid w:val="008848D9"/>
    <w:rsid w:val="00884AD0"/>
    <w:rsid w:val="00884D6A"/>
    <w:rsid w:val="008850A8"/>
    <w:rsid w:val="00885254"/>
    <w:rsid w:val="00885859"/>
    <w:rsid w:val="00886150"/>
    <w:rsid w:val="00886603"/>
    <w:rsid w:val="008871FE"/>
    <w:rsid w:val="008875EE"/>
    <w:rsid w:val="00887F65"/>
    <w:rsid w:val="0089085B"/>
    <w:rsid w:val="00890944"/>
    <w:rsid w:val="008909A3"/>
    <w:rsid w:val="00890B6C"/>
    <w:rsid w:val="00890E28"/>
    <w:rsid w:val="00891151"/>
    <w:rsid w:val="00891251"/>
    <w:rsid w:val="00891266"/>
    <w:rsid w:val="00893646"/>
    <w:rsid w:val="008936FB"/>
    <w:rsid w:val="00893812"/>
    <w:rsid w:val="0089394E"/>
    <w:rsid w:val="00893B3B"/>
    <w:rsid w:val="00894212"/>
    <w:rsid w:val="0089424B"/>
    <w:rsid w:val="00894E03"/>
    <w:rsid w:val="00895F06"/>
    <w:rsid w:val="0089693A"/>
    <w:rsid w:val="0089747A"/>
    <w:rsid w:val="008974F6"/>
    <w:rsid w:val="008977CC"/>
    <w:rsid w:val="00897C46"/>
    <w:rsid w:val="008A0B8A"/>
    <w:rsid w:val="008A0F14"/>
    <w:rsid w:val="008A14F9"/>
    <w:rsid w:val="008A1645"/>
    <w:rsid w:val="008A1A52"/>
    <w:rsid w:val="008A2670"/>
    <w:rsid w:val="008A2940"/>
    <w:rsid w:val="008A29AB"/>
    <w:rsid w:val="008A3B4F"/>
    <w:rsid w:val="008A4A4B"/>
    <w:rsid w:val="008A5154"/>
    <w:rsid w:val="008A5528"/>
    <w:rsid w:val="008A5AA0"/>
    <w:rsid w:val="008A5D9E"/>
    <w:rsid w:val="008A60CF"/>
    <w:rsid w:val="008A6CA9"/>
    <w:rsid w:val="008A78EB"/>
    <w:rsid w:val="008A79E9"/>
    <w:rsid w:val="008B0195"/>
    <w:rsid w:val="008B066F"/>
    <w:rsid w:val="008B07C1"/>
    <w:rsid w:val="008B0854"/>
    <w:rsid w:val="008B10DD"/>
    <w:rsid w:val="008B18ED"/>
    <w:rsid w:val="008B1BF7"/>
    <w:rsid w:val="008B243D"/>
    <w:rsid w:val="008B285B"/>
    <w:rsid w:val="008B2B90"/>
    <w:rsid w:val="008B3F72"/>
    <w:rsid w:val="008B4129"/>
    <w:rsid w:val="008B4202"/>
    <w:rsid w:val="008B45D7"/>
    <w:rsid w:val="008B4899"/>
    <w:rsid w:val="008B4C08"/>
    <w:rsid w:val="008B4EFB"/>
    <w:rsid w:val="008B5292"/>
    <w:rsid w:val="008B56CD"/>
    <w:rsid w:val="008B56F8"/>
    <w:rsid w:val="008B5A21"/>
    <w:rsid w:val="008B6D8D"/>
    <w:rsid w:val="008B73DC"/>
    <w:rsid w:val="008B7E96"/>
    <w:rsid w:val="008C03BB"/>
    <w:rsid w:val="008C0B32"/>
    <w:rsid w:val="008C0E86"/>
    <w:rsid w:val="008C1115"/>
    <w:rsid w:val="008C13A7"/>
    <w:rsid w:val="008C167D"/>
    <w:rsid w:val="008C212C"/>
    <w:rsid w:val="008C2AFC"/>
    <w:rsid w:val="008C3170"/>
    <w:rsid w:val="008C37B4"/>
    <w:rsid w:val="008C38DC"/>
    <w:rsid w:val="008C3C9D"/>
    <w:rsid w:val="008C3CDA"/>
    <w:rsid w:val="008C3D83"/>
    <w:rsid w:val="008C47E1"/>
    <w:rsid w:val="008C4C41"/>
    <w:rsid w:val="008C5693"/>
    <w:rsid w:val="008C59B5"/>
    <w:rsid w:val="008C5ACC"/>
    <w:rsid w:val="008C6972"/>
    <w:rsid w:val="008C74AE"/>
    <w:rsid w:val="008D0137"/>
    <w:rsid w:val="008D04D8"/>
    <w:rsid w:val="008D0550"/>
    <w:rsid w:val="008D1954"/>
    <w:rsid w:val="008D2466"/>
    <w:rsid w:val="008D2550"/>
    <w:rsid w:val="008D270C"/>
    <w:rsid w:val="008D29EA"/>
    <w:rsid w:val="008D36AC"/>
    <w:rsid w:val="008D3A4D"/>
    <w:rsid w:val="008D45FE"/>
    <w:rsid w:val="008D4EFD"/>
    <w:rsid w:val="008D51AF"/>
    <w:rsid w:val="008D52D1"/>
    <w:rsid w:val="008D54A3"/>
    <w:rsid w:val="008D57AE"/>
    <w:rsid w:val="008D583D"/>
    <w:rsid w:val="008D5FFC"/>
    <w:rsid w:val="008D60C2"/>
    <w:rsid w:val="008D6F16"/>
    <w:rsid w:val="008D75E9"/>
    <w:rsid w:val="008D7970"/>
    <w:rsid w:val="008E0458"/>
    <w:rsid w:val="008E06E4"/>
    <w:rsid w:val="008E07BA"/>
    <w:rsid w:val="008E0870"/>
    <w:rsid w:val="008E127E"/>
    <w:rsid w:val="008E139E"/>
    <w:rsid w:val="008E15F9"/>
    <w:rsid w:val="008E1C7F"/>
    <w:rsid w:val="008E1CB9"/>
    <w:rsid w:val="008E2BD2"/>
    <w:rsid w:val="008E3713"/>
    <w:rsid w:val="008E3AAA"/>
    <w:rsid w:val="008E3D97"/>
    <w:rsid w:val="008E3ED3"/>
    <w:rsid w:val="008E4153"/>
    <w:rsid w:val="008E4397"/>
    <w:rsid w:val="008E4828"/>
    <w:rsid w:val="008E4A3A"/>
    <w:rsid w:val="008E5002"/>
    <w:rsid w:val="008E555A"/>
    <w:rsid w:val="008E62A9"/>
    <w:rsid w:val="008E6BDE"/>
    <w:rsid w:val="008E78CF"/>
    <w:rsid w:val="008E7974"/>
    <w:rsid w:val="008E79A2"/>
    <w:rsid w:val="008E7A73"/>
    <w:rsid w:val="008F01E9"/>
    <w:rsid w:val="008F0482"/>
    <w:rsid w:val="008F04B3"/>
    <w:rsid w:val="008F0C91"/>
    <w:rsid w:val="008F0FE1"/>
    <w:rsid w:val="008F10E7"/>
    <w:rsid w:val="008F1CC3"/>
    <w:rsid w:val="008F1F82"/>
    <w:rsid w:val="008F2040"/>
    <w:rsid w:val="008F263D"/>
    <w:rsid w:val="008F2E1C"/>
    <w:rsid w:val="008F2E1D"/>
    <w:rsid w:val="008F3543"/>
    <w:rsid w:val="008F3927"/>
    <w:rsid w:val="008F3A1C"/>
    <w:rsid w:val="008F3C03"/>
    <w:rsid w:val="008F4173"/>
    <w:rsid w:val="008F4B77"/>
    <w:rsid w:val="008F57A3"/>
    <w:rsid w:val="008F6715"/>
    <w:rsid w:val="008F6C29"/>
    <w:rsid w:val="008F7698"/>
    <w:rsid w:val="0090097D"/>
    <w:rsid w:val="00900B27"/>
    <w:rsid w:val="009017AD"/>
    <w:rsid w:val="00901D76"/>
    <w:rsid w:val="00901FF6"/>
    <w:rsid w:val="00902E42"/>
    <w:rsid w:val="00902FA1"/>
    <w:rsid w:val="00903120"/>
    <w:rsid w:val="00903266"/>
    <w:rsid w:val="00903420"/>
    <w:rsid w:val="009035C1"/>
    <w:rsid w:val="00904E3D"/>
    <w:rsid w:val="00904FED"/>
    <w:rsid w:val="00905025"/>
    <w:rsid w:val="00905123"/>
    <w:rsid w:val="009059A5"/>
    <w:rsid w:val="00905A6D"/>
    <w:rsid w:val="009068E0"/>
    <w:rsid w:val="00907B18"/>
    <w:rsid w:val="00910502"/>
    <w:rsid w:val="00910924"/>
    <w:rsid w:val="00911387"/>
    <w:rsid w:val="00911955"/>
    <w:rsid w:val="00911A5E"/>
    <w:rsid w:val="00911C3A"/>
    <w:rsid w:val="00912013"/>
    <w:rsid w:val="00912B3D"/>
    <w:rsid w:val="00913498"/>
    <w:rsid w:val="009139B0"/>
    <w:rsid w:val="00913D7D"/>
    <w:rsid w:val="00913FEF"/>
    <w:rsid w:val="0091404D"/>
    <w:rsid w:val="0091472F"/>
    <w:rsid w:val="00915067"/>
    <w:rsid w:val="00915F75"/>
    <w:rsid w:val="00915F85"/>
    <w:rsid w:val="00916CA4"/>
    <w:rsid w:val="0091712C"/>
    <w:rsid w:val="009171D8"/>
    <w:rsid w:val="00920012"/>
    <w:rsid w:val="009216B0"/>
    <w:rsid w:val="00921DF3"/>
    <w:rsid w:val="009221E9"/>
    <w:rsid w:val="009228D4"/>
    <w:rsid w:val="00922A0A"/>
    <w:rsid w:val="00923DAA"/>
    <w:rsid w:val="00924E3A"/>
    <w:rsid w:val="00925BD9"/>
    <w:rsid w:val="009269AF"/>
    <w:rsid w:val="00926D89"/>
    <w:rsid w:val="00927060"/>
    <w:rsid w:val="0092709F"/>
    <w:rsid w:val="00927397"/>
    <w:rsid w:val="009277F1"/>
    <w:rsid w:val="00930024"/>
    <w:rsid w:val="009304F5"/>
    <w:rsid w:val="00930597"/>
    <w:rsid w:val="00930711"/>
    <w:rsid w:val="00930F1E"/>
    <w:rsid w:val="00931786"/>
    <w:rsid w:val="00931D8B"/>
    <w:rsid w:val="00932375"/>
    <w:rsid w:val="0093288A"/>
    <w:rsid w:val="00932DC7"/>
    <w:rsid w:val="0093315B"/>
    <w:rsid w:val="009332AF"/>
    <w:rsid w:val="009332E7"/>
    <w:rsid w:val="00933437"/>
    <w:rsid w:val="009335D1"/>
    <w:rsid w:val="0093385B"/>
    <w:rsid w:val="00934835"/>
    <w:rsid w:val="00934C38"/>
    <w:rsid w:val="00934F48"/>
    <w:rsid w:val="009356DB"/>
    <w:rsid w:val="00935813"/>
    <w:rsid w:val="00936CF1"/>
    <w:rsid w:val="00937CF7"/>
    <w:rsid w:val="00937D53"/>
    <w:rsid w:val="00937D68"/>
    <w:rsid w:val="00937F4C"/>
    <w:rsid w:val="009407E9"/>
    <w:rsid w:val="009410C3"/>
    <w:rsid w:val="00941EEE"/>
    <w:rsid w:val="0094210D"/>
    <w:rsid w:val="00942927"/>
    <w:rsid w:val="0094297E"/>
    <w:rsid w:val="0094359B"/>
    <w:rsid w:val="00943D69"/>
    <w:rsid w:val="00943E15"/>
    <w:rsid w:val="00944452"/>
    <w:rsid w:val="00944718"/>
    <w:rsid w:val="00944ABF"/>
    <w:rsid w:val="00944C08"/>
    <w:rsid w:val="00944D53"/>
    <w:rsid w:val="00945EBF"/>
    <w:rsid w:val="00946689"/>
    <w:rsid w:val="0094671D"/>
    <w:rsid w:val="00946A8F"/>
    <w:rsid w:val="00946ABF"/>
    <w:rsid w:val="00946D11"/>
    <w:rsid w:val="00947DB5"/>
    <w:rsid w:val="009516E8"/>
    <w:rsid w:val="009519BF"/>
    <w:rsid w:val="00953C0B"/>
    <w:rsid w:val="00954DC8"/>
    <w:rsid w:val="0095718F"/>
    <w:rsid w:val="009573E0"/>
    <w:rsid w:val="00957753"/>
    <w:rsid w:val="00960A07"/>
    <w:rsid w:val="00960B0B"/>
    <w:rsid w:val="00960C04"/>
    <w:rsid w:val="00961672"/>
    <w:rsid w:val="009619B5"/>
    <w:rsid w:val="009622EA"/>
    <w:rsid w:val="0096272D"/>
    <w:rsid w:val="009627A4"/>
    <w:rsid w:val="0096292D"/>
    <w:rsid w:val="009637A7"/>
    <w:rsid w:val="00963AB3"/>
    <w:rsid w:val="00963ACA"/>
    <w:rsid w:val="00963D7F"/>
    <w:rsid w:val="00965B1D"/>
    <w:rsid w:val="00965C55"/>
    <w:rsid w:val="00965DF1"/>
    <w:rsid w:val="009660DB"/>
    <w:rsid w:val="00966DD8"/>
    <w:rsid w:val="00967206"/>
    <w:rsid w:val="0096767D"/>
    <w:rsid w:val="009677FE"/>
    <w:rsid w:val="00967A85"/>
    <w:rsid w:val="00967E45"/>
    <w:rsid w:val="0097044D"/>
    <w:rsid w:val="00970765"/>
    <w:rsid w:val="00970C2C"/>
    <w:rsid w:val="0097141D"/>
    <w:rsid w:val="00972E44"/>
    <w:rsid w:val="00973C85"/>
    <w:rsid w:val="00973E36"/>
    <w:rsid w:val="00973F02"/>
    <w:rsid w:val="00974A93"/>
    <w:rsid w:val="00974DD0"/>
    <w:rsid w:val="009757FD"/>
    <w:rsid w:val="00975B43"/>
    <w:rsid w:val="00975E70"/>
    <w:rsid w:val="009762B4"/>
    <w:rsid w:val="00976CBE"/>
    <w:rsid w:val="00977399"/>
    <w:rsid w:val="00980145"/>
    <w:rsid w:val="009804EE"/>
    <w:rsid w:val="00980BBC"/>
    <w:rsid w:val="0098139A"/>
    <w:rsid w:val="009813BA"/>
    <w:rsid w:val="00981416"/>
    <w:rsid w:val="00981664"/>
    <w:rsid w:val="0098290D"/>
    <w:rsid w:val="00982D53"/>
    <w:rsid w:val="00983BF5"/>
    <w:rsid w:val="009840EB"/>
    <w:rsid w:val="009846C1"/>
    <w:rsid w:val="009848F5"/>
    <w:rsid w:val="00984A57"/>
    <w:rsid w:val="0098574B"/>
    <w:rsid w:val="009866F4"/>
    <w:rsid w:val="00986737"/>
    <w:rsid w:val="009867AD"/>
    <w:rsid w:val="00986BF7"/>
    <w:rsid w:val="0098736E"/>
    <w:rsid w:val="00987DDA"/>
    <w:rsid w:val="00990302"/>
    <w:rsid w:val="00990743"/>
    <w:rsid w:val="00991095"/>
    <w:rsid w:val="0099131B"/>
    <w:rsid w:val="00991859"/>
    <w:rsid w:val="00991BB1"/>
    <w:rsid w:val="00991D70"/>
    <w:rsid w:val="0099204D"/>
    <w:rsid w:val="009922EA"/>
    <w:rsid w:val="00992C1E"/>
    <w:rsid w:val="00993914"/>
    <w:rsid w:val="00994028"/>
    <w:rsid w:val="00994E3F"/>
    <w:rsid w:val="00994FF9"/>
    <w:rsid w:val="00995CEA"/>
    <w:rsid w:val="00995E21"/>
    <w:rsid w:val="00997981"/>
    <w:rsid w:val="00997D59"/>
    <w:rsid w:val="00997D9C"/>
    <w:rsid w:val="009A07E1"/>
    <w:rsid w:val="009A108A"/>
    <w:rsid w:val="009A1A1E"/>
    <w:rsid w:val="009A1C52"/>
    <w:rsid w:val="009A1ED9"/>
    <w:rsid w:val="009A2C99"/>
    <w:rsid w:val="009A32BE"/>
    <w:rsid w:val="009A341B"/>
    <w:rsid w:val="009A362D"/>
    <w:rsid w:val="009A39D1"/>
    <w:rsid w:val="009A3C07"/>
    <w:rsid w:val="009A3D54"/>
    <w:rsid w:val="009A3E80"/>
    <w:rsid w:val="009A3FDD"/>
    <w:rsid w:val="009A4570"/>
    <w:rsid w:val="009A5D5D"/>
    <w:rsid w:val="009A6042"/>
    <w:rsid w:val="009A6962"/>
    <w:rsid w:val="009A7338"/>
    <w:rsid w:val="009A7A29"/>
    <w:rsid w:val="009B09DF"/>
    <w:rsid w:val="009B1B78"/>
    <w:rsid w:val="009B2994"/>
    <w:rsid w:val="009B3445"/>
    <w:rsid w:val="009B3B31"/>
    <w:rsid w:val="009B3C9C"/>
    <w:rsid w:val="009B3F70"/>
    <w:rsid w:val="009B5910"/>
    <w:rsid w:val="009B5BB3"/>
    <w:rsid w:val="009B6411"/>
    <w:rsid w:val="009B65DD"/>
    <w:rsid w:val="009B6FCE"/>
    <w:rsid w:val="009B71A3"/>
    <w:rsid w:val="009B71FF"/>
    <w:rsid w:val="009B76A1"/>
    <w:rsid w:val="009B7CAA"/>
    <w:rsid w:val="009C00EE"/>
    <w:rsid w:val="009C2795"/>
    <w:rsid w:val="009C2C59"/>
    <w:rsid w:val="009C31E9"/>
    <w:rsid w:val="009C3918"/>
    <w:rsid w:val="009C3C26"/>
    <w:rsid w:val="009C3EA3"/>
    <w:rsid w:val="009C4AD3"/>
    <w:rsid w:val="009C4C8E"/>
    <w:rsid w:val="009C5028"/>
    <w:rsid w:val="009C52A2"/>
    <w:rsid w:val="009C5930"/>
    <w:rsid w:val="009C5EDB"/>
    <w:rsid w:val="009C5EEC"/>
    <w:rsid w:val="009C6316"/>
    <w:rsid w:val="009C7618"/>
    <w:rsid w:val="009C7B5D"/>
    <w:rsid w:val="009C7C5C"/>
    <w:rsid w:val="009C7D6A"/>
    <w:rsid w:val="009D0755"/>
    <w:rsid w:val="009D0A97"/>
    <w:rsid w:val="009D138B"/>
    <w:rsid w:val="009D13E9"/>
    <w:rsid w:val="009D2405"/>
    <w:rsid w:val="009D2515"/>
    <w:rsid w:val="009D2629"/>
    <w:rsid w:val="009D2C26"/>
    <w:rsid w:val="009D2D4D"/>
    <w:rsid w:val="009D2E7C"/>
    <w:rsid w:val="009D3784"/>
    <w:rsid w:val="009D3BBA"/>
    <w:rsid w:val="009D46D3"/>
    <w:rsid w:val="009D6474"/>
    <w:rsid w:val="009D654E"/>
    <w:rsid w:val="009D6EA2"/>
    <w:rsid w:val="009D7095"/>
    <w:rsid w:val="009D77B1"/>
    <w:rsid w:val="009D7DDC"/>
    <w:rsid w:val="009E0917"/>
    <w:rsid w:val="009E0F0D"/>
    <w:rsid w:val="009E1319"/>
    <w:rsid w:val="009E1678"/>
    <w:rsid w:val="009E2651"/>
    <w:rsid w:val="009E308D"/>
    <w:rsid w:val="009E3362"/>
    <w:rsid w:val="009E3D55"/>
    <w:rsid w:val="009E441C"/>
    <w:rsid w:val="009E4775"/>
    <w:rsid w:val="009E4F2C"/>
    <w:rsid w:val="009E50C2"/>
    <w:rsid w:val="009E5514"/>
    <w:rsid w:val="009E57E6"/>
    <w:rsid w:val="009E61AF"/>
    <w:rsid w:val="009E670B"/>
    <w:rsid w:val="009E6BCA"/>
    <w:rsid w:val="009E6DA2"/>
    <w:rsid w:val="009E7481"/>
    <w:rsid w:val="009E7B83"/>
    <w:rsid w:val="009E7F73"/>
    <w:rsid w:val="009E7F85"/>
    <w:rsid w:val="009F0483"/>
    <w:rsid w:val="009F2497"/>
    <w:rsid w:val="009F2FC4"/>
    <w:rsid w:val="009F324A"/>
    <w:rsid w:val="009F3755"/>
    <w:rsid w:val="009F4331"/>
    <w:rsid w:val="009F51B2"/>
    <w:rsid w:val="009F53E9"/>
    <w:rsid w:val="009F5967"/>
    <w:rsid w:val="009F67EA"/>
    <w:rsid w:val="009F765C"/>
    <w:rsid w:val="00A00153"/>
    <w:rsid w:val="00A004F2"/>
    <w:rsid w:val="00A00C16"/>
    <w:rsid w:val="00A01248"/>
    <w:rsid w:val="00A0178A"/>
    <w:rsid w:val="00A01A16"/>
    <w:rsid w:val="00A01D35"/>
    <w:rsid w:val="00A025BF"/>
    <w:rsid w:val="00A025EF"/>
    <w:rsid w:val="00A026C0"/>
    <w:rsid w:val="00A02730"/>
    <w:rsid w:val="00A028A2"/>
    <w:rsid w:val="00A02E1F"/>
    <w:rsid w:val="00A02FA5"/>
    <w:rsid w:val="00A04155"/>
    <w:rsid w:val="00A04C10"/>
    <w:rsid w:val="00A0515D"/>
    <w:rsid w:val="00A0708D"/>
    <w:rsid w:val="00A07D73"/>
    <w:rsid w:val="00A1004C"/>
    <w:rsid w:val="00A109F2"/>
    <w:rsid w:val="00A10EE9"/>
    <w:rsid w:val="00A131B2"/>
    <w:rsid w:val="00A13C19"/>
    <w:rsid w:val="00A13FB3"/>
    <w:rsid w:val="00A14110"/>
    <w:rsid w:val="00A141F2"/>
    <w:rsid w:val="00A143C3"/>
    <w:rsid w:val="00A14439"/>
    <w:rsid w:val="00A1444D"/>
    <w:rsid w:val="00A14DE4"/>
    <w:rsid w:val="00A14E6B"/>
    <w:rsid w:val="00A15217"/>
    <w:rsid w:val="00A15404"/>
    <w:rsid w:val="00A15715"/>
    <w:rsid w:val="00A159BD"/>
    <w:rsid w:val="00A15C22"/>
    <w:rsid w:val="00A164EA"/>
    <w:rsid w:val="00A16678"/>
    <w:rsid w:val="00A17B20"/>
    <w:rsid w:val="00A203D7"/>
    <w:rsid w:val="00A20CFA"/>
    <w:rsid w:val="00A21361"/>
    <w:rsid w:val="00A21A04"/>
    <w:rsid w:val="00A21C9E"/>
    <w:rsid w:val="00A22312"/>
    <w:rsid w:val="00A230D8"/>
    <w:rsid w:val="00A2363B"/>
    <w:rsid w:val="00A23AFA"/>
    <w:rsid w:val="00A24434"/>
    <w:rsid w:val="00A24915"/>
    <w:rsid w:val="00A24C6D"/>
    <w:rsid w:val="00A250AD"/>
    <w:rsid w:val="00A2542A"/>
    <w:rsid w:val="00A255C6"/>
    <w:rsid w:val="00A25819"/>
    <w:rsid w:val="00A2675E"/>
    <w:rsid w:val="00A26859"/>
    <w:rsid w:val="00A26B5F"/>
    <w:rsid w:val="00A27A07"/>
    <w:rsid w:val="00A27D53"/>
    <w:rsid w:val="00A300B7"/>
    <w:rsid w:val="00A3029E"/>
    <w:rsid w:val="00A303D4"/>
    <w:rsid w:val="00A3053E"/>
    <w:rsid w:val="00A30685"/>
    <w:rsid w:val="00A313D5"/>
    <w:rsid w:val="00A319F6"/>
    <w:rsid w:val="00A321F1"/>
    <w:rsid w:val="00A32795"/>
    <w:rsid w:val="00A32AA1"/>
    <w:rsid w:val="00A3340D"/>
    <w:rsid w:val="00A34532"/>
    <w:rsid w:val="00A355C5"/>
    <w:rsid w:val="00A358FF"/>
    <w:rsid w:val="00A35E19"/>
    <w:rsid w:val="00A360CA"/>
    <w:rsid w:val="00A362D9"/>
    <w:rsid w:val="00A364C1"/>
    <w:rsid w:val="00A3665A"/>
    <w:rsid w:val="00A36FA9"/>
    <w:rsid w:val="00A37B1D"/>
    <w:rsid w:val="00A406AA"/>
    <w:rsid w:val="00A4079C"/>
    <w:rsid w:val="00A40823"/>
    <w:rsid w:val="00A4098F"/>
    <w:rsid w:val="00A40F2C"/>
    <w:rsid w:val="00A415DF"/>
    <w:rsid w:val="00A41FA6"/>
    <w:rsid w:val="00A43584"/>
    <w:rsid w:val="00A43860"/>
    <w:rsid w:val="00A43A5B"/>
    <w:rsid w:val="00A43D1E"/>
    <w:rsid w:val="00A43EEB"/>
    <w:rsid w:val="00A442C8"/>
    <w:rsid w:val="00A4458E"/>
    <w:rsid w:val="00A4488A"/>
    <w:rsid w:val="00A44DEF"/>
    <w:rsid w:val="00A458BB"/>
    <w:rsid w:val="00A45DED"/>
    <w:rsid w:val="00A46010"/>
    <w:rsid w:val="00A46C35"/>
    <w:rsid w:val="00A47D86"/>
    <w:rsid w:val="00A47F3C"/>
    <w:rsid w:val="00A500D2"/>
    <w:rsid w:val="00A50482"/>
    <w:rsid w:val="00A506C5"/>
    <w:rsid w:val="00A50FCA"/>
    <w:rsid w:val="00A52383"/>
    <w:rsid w:val="00A52416"/>
    <w:rsid w:val="00A529F5"/>
    <w:rsid w:val="00A52D94"/>
    <w:rsid w:val="00A52DD3"/>
    <w:rsid w:val="00A532AC"/>
    <w:rsid w:val="00A54451"/>
    <w:rsid w:val="00A545AB"/>
    <w:rsid w:val="00A546A4"/>
    <w:rsid w:val="00A54A3C"/>
    <w:rsid w:val="00A54D6F"/>
    <w:rsid w:val="00A54EA2"/>
    <w:rsid w:val="00A55E46"/>
    <w:rsid w:val="00A55E76"/>
    <w:rsid w:val="00A55ECE"/>
    <w:rsid w:val="00A560E7"/>
    <w:rsid w:val="00A56D23"/>
    <w:rsid w:val="00A57425"/>
    <w:rsid w:val="00A57488"/>
    <w:rsid w:val="00A5750E"/>
    <w:rsid w:val="00A57C6B"/>
    <w:rsid w:val="00A60221"/>
    <w:rsid w:val="00A602E8"/>
    <w:rsid w:val="00A606AD"/>
    <w:rsid w:val="00A60C3A"/>
    <w:rsid w:val="00A615FD"/>
    <w:rsid w:val="00A61DAD"/>
    <w:rsid w:val="00A6213F"/>
    <w:rsid w:val="00A6289E"/>
    <w:rsid w:val="00A62D0D"/>
    <w:rsid w:val="00A62DE8"/>
    <w:rsid w:val="00A63C2A"/>
    <w:rsid w:val="00A64120"/>
    <w:rsid w:val="00A64C7B"/>
    <w:rsid w:val="00A650B5"/>
    <w:rsid w:val="00A654BE"/>
    <w:rsid w:val="00A65FEA"/>
    <w:rsid w:val="00A660DA"/>
    <w:rsid w:val="00A664DE"/>
    <w:rsid w:val="00A67129"/>
    <w:rsid w:val="00A6726E"/>
    <w:rsid w:val="00A67B0D"/>
    <w:rsid w:val="00A70267"/>
    <w:rsid w:val="00A70AD6"/>
    <w:rsid w:val="00A70BA0"/>
    <w:rsid w:val="00A71260"/>
    <w:rsid w:val="00A71D6B"/>
    <w:rsid w:val="00A72A73"/>
    <w:rsid w:val="00A72ECE"/>
    <w:rsid w:val="00A744FF"/>
    <w:rsid w:val="00A748FF"/>
    <w:rsid w:val="00A74B86"/>
    <w:rsid w:val="00A757A1"/>
    <w:rsid w:val="00A75838"/>
    <w:rsid w:val="00A801A4"/>
    <w:rsid w:val="00A801F8"/>
    <w:rsid w:val="00A8032B"/>
    <w:rsid w:val="00A81363"/>
    <w:rsid w:val="00A816D5"/>
    <w:rsid w:val="00A819FC"/>
    <w:rsid w:val="00A81AF7"/>
    <w:rsid w:val="00A81BA4"/>
    <w:rsid w:val="00A822E6"/>
    <w:rsid w:val="00A82E9D"/>
    <w:rsid w:val="00A83254"/>
    <w:rsid w:val="00A836F7"/>
    <w:rsid w:val="00A83A19"/>
    <w:rsid w:val="00A83B05"/>
    <w:rsid w:val="00A84991"/>
    <w:rsid w:val="00A87A1E"/>
    <w:rsid w:val="00A901FC"/>
    <w:rsid w:val="00A90A19"/>
    <w:rsid w:val="00A91177"/>
    <w:rsid w:val="00A913CF"/>
    <w:rsid w:val="00A919DE"/>
    <w:rsid w:val="00A9252A"/>
    <w:rsid w:val="00A93EC3"/>
    <w:rsid w:val="00A94A6C"/>
    <w:rsid w:val="00A94B72"/>
    <w:rsid w:val="00A95130"/>
    <w:rsid w:val="00A95491"/>
    <w:rsid w:val="00A95498"/>
    <w:rsid w:val="00A9574B"/>
    <w:rsid w:val="00A95EDA"/>
    <w:rsid w:val="00A967D6"/>
    <w:rsid w:val="00A971DC"/>
    <w:rsid w:val="00A9795C"/>
    <w:rsid w:val="00AA0178"/>
    <w:rsid w:val="00AA0C01"/>
    <w:rsid w:val="00AA10CF"/>
    <w:rsid w:val="00AA1121"/>
    <w:rsid w:val="00AA11DB"/>
    <w:rsid w:val="00AA1945"/>
    <w:rsid w:val="00AA211A"/>
    <w:rsid w:val="00AA2573"/>
    <w:rsid w:val="00AA2589"/>
    <w:rsid w:val="00AA2C58"/>
    <w:rsid w:val="00AA2F8F"/>
    <w:rsid w:val="00AA2FA1"/>
    <w:rsid w:val="00AA32B6"/>
    <w:rsid w:val="00AA4B58"/>
    <w:rsid w:val="00AA4C00"/>
    <w:rsid w:val="00AA4C0B"/>
    <w:rsid w:val="00AA6227"/>
    <w:rsid w:val="00AA63F6"/>
    <w:rsid w:val="00AA6559"/>
    <w:rsid w:val="00AA67B6"/>
    <w:rsid w:val="00AA6991"/>
    <w:rsid w:val="00AA6F44"/>
    <w:rsid w:val="00AA76AD"/>
    <w:rsid w:val="00AB0183"/>
    <w:rsid w:val="00AB025A"/>
    <w:rsid w:val="00AB029B"/>
    <w:rsid w:val="00AB04B3"/>
    <w:rsid w:val="00AB1541"/>
    <w:rsid w:val="00AB1FA1"/>
    <w:rsid w:val="00AB203D"/>
    <w:rsid w:val="00AB20F5"/>
    <w:rsid w:val="00AB2468"/>
    <w:rsid w:val="00AB2B32"/>
    <w:rsid w:val="00AB3591"/>
    <w:rsid w:val="00AB3669"/>
    <w:rsid w:val="00AB39E8"/>
    <w:rsid w:val="00AB3FB8"/>
    <w:rsid w:val="00AB4374"/>
    <w:rsid w:val="00AB4988"/>
    <w:rsid w:val="00AB4B68"/>
    <w:rsid w:val="00AB4FED"/>
    <w:rsid w:val="00AB52C0"/>
    <w:rsid w:val="00AB546F"/>
    <w:rsid w:val="00AB5F3A"/>
    <w:rsid w:val="00AB6AEE"/>
    <w:rsid w:val="00AB6AFD"/>
    <w:rsid w:val="00AB6B00"/>
    <w:rsid w:val="00AB72E6"/>
    <w:rsid w:val="00AB75F4"/>
    <w:rsid w:val="00AB7645"/>
    <w:rsid w:val="00AB77B5"/>
    <w:rsid w:val="00AB7CDB"/>
    <w:rsid w:val="00AB7D8D"/>
    <w:rsid w:val="00AC0516"/>
    <w:rsid w:val="00AC055A"/>
    <w:rsid w:val="00AC0738"/>
    <w:rsid w:val="00AC07AF"/>
    <w:rsid w:val="00AC0D00"/>
    <w:rsid w:val="00AC0FAC"/>
    <w:rsid w:val="00AC1013"/>
    <w:rsid w:val="00AC17F9"/>
    <w:rsid w:val="00AC244B"/>
    <w:rsid w:val="00AC25E2"/>
    <w:rsid w:val="00AC401A"/>
    <w:rsid w:val="00AC44D3"/>
    <w:rsid w:val="00AC4C62"/>
    <w:rsid w:val="00AC4D88"/>
    <w:rsid w:val="00AC5AAF"/>
    <w:rsid w:val="00AC5F8B"/>
    <w:rsid w:val="00AC6BBE"/>
    <w:rsid w:val="00AC70AF"/>
    <w:rsid w:val="00AC7642"/>
    <w:rsid w:val="00AD09D0"/>
    <w:rsid w:val="00AD157C"/>
    <w:rsid w:val="00AD1924"/>
    <w:rsid w:val="00AD2500"/>
    <w:rsid w:val="00AD28D6"/>
    <w:rsid w:val="00AD2D24"/>
    <w:rsid w:val="00AD341D"/>
    <w:rsid w:val="00AD34BF"/>
    <w:rsid w:val="00AD3C33"/>
    <w:rsid w:val="00AD410F"/>
    <w:rsid w:val="00AD4130"/>
    <w:rsid w:val="00AD4193"/>
    <w:rsid w:val="00AD43BF"/>
    <w:rsid w:val="00AD4BD1"/>
    <w:rsid w:val="00AD4F74"/>
    <w:rsid w:val="00AD5639"/>
    <w:rsid w:val="00AD5CE3"/>
    <w:rsid w:val="00AD717E"/>
    <w:rsid w:val="00AD7448"/>
    <w:rsid w:val="00AD744C"/>
    <w:rsid w:val="00AD75B4"/>
    <w:rsid w:val="00AD7CB4"/>
    <w:rsid w:val="00AD7FF2"/>
    <w:rsid w:val="00AE0076"/>
    <w:rsid w:val="00AE026B"/>
    <w:rsid w:val="00AE04FF"/>
    <w:rsid w:val="00AE05B5"/>
    <w:rsid w:val="00AE089D"/>
    <w:rsid w:val="00AE1678"/>
    <w:rsid w:val="00AE1954"/>
    <w:rsid w:val="00AE1B82"/>
    <w:rsid w:val="00AE1BD2"/>
    <w:rsid w:val="00AE1F08"/>
    <w:rsid w:val="00AE247C"/>
    <w:rsid w:val="00AE276A"/>
    <w:rsid w:val="00AE2F92"/>
    <w:rsid w:val="00AE4754"/>
    <w:rsid w:val="00AE4CAD"/>
    <w:rsid w:val="00AE50DA"/>
    <w:rsid w:val="00AE53A6"/>
    <w:rsid w:val="00AE5560"/>
    <w:rsid w:val="00AE6734"/>
    <w:rsid w:val="00AE68A3"/>
    <w:rsid w:val="00AE6DF6"/>
    <w:rsid w:val="00AE7256"/>
    <w:rsid w:val="00AF039C"/>
    <w:rsid w:val="00AF04D3"/>
    <w:rsid w:val="00AF0F68"/>
    <w:rsid w:val="00AF1615"/>
    <w:rsid w:val="00AF1D86"/>
    <w:rsid w:val="00AF1F00"/>
    <w:rsid w:val="00AF39D8"/>
    <w:rsid w:val="00AF41D6"/>
    <w:rsid w:val="00AF469A"/>
    <w:rsid w:val="00AF48C4"/>
    <w:rsid w:val="00AF4A35"/>
    <w:rsid w:val="00AF4CF4"/>
    <w:rsid w:val="00AF4F88"/>
    <w:rsid w:val="00AF5C92"/>
    <w:rsid w:val="00AF5ECC"/>
    <w:rsid w:val="00AF65AA"/>
    <w:rsid w:val="00AF678E"/>
    <w:rsid w:val="00AF6A0C"/>
    <w:rsid w:val="00AF6D4D"/>
    <w:rsid w:val="00AF6F3E"/>
    <w:rsid w:val="00AF700F"/>
    <w:rsid w:val="00AF7053"/>
    <w:rsid w:val="00AF76A4"/>
    <w:rsid w:val="00AF7724"/>
    <w:rsid w:val="00AF7ED1"/>
    <w:rsid w:val="00B00055"/>
    <w:rsid w:val="00B008CF"/>
    <w:rsid w:val="00B01272"/>
    <w:rsid w:val="00B018B2"/>
    <w:rsid w:val="00B020B0"/>
    <w:rsid w:val="00B02594"/>
    <w:rsid w:val="00B026EB"/>
    <w:rsid w:val="00B02877"/>
    <w:rsid w:val="00B02969"/>
    <w:rsid w:val="00B02F36"/>
    <w:rsid w:val="00B03FCB"/>
    <w:rsid w:val="00B0488A"/>
    <w:rsid w:val="00B04A06"/>
    <w:rsid w:val="00B04CFC"/>
    <w:rsid w:val="00B05147"/>
    <w:rsid w:val="00B05E4F"/>
    <w:rsid w:val="00B0604C"/>
    <w:rsid w:val="00B0621F"/>
    <w:rsid w:val="00B06222"/>
    <w:rsid w:val="00B064A7"/>
    <w:rsid w:val="00B064C2"/>
    <w:rsid w:val="00B06D74"/>
    <w:rsid w:val="00B06EA6"/>
    <w:rsid w:val="00B06F0A"/>
    <w:rsid w:val="00B07A1A"/>
    <w:rsid w:val="00B10BE9"/>
    <w:rsid w:val="00B10DA1"/>
    <w:rsid w:val="00B11613"/>
    <w:rsid w:val="00B11F6B"/>
    <w:rsid w:val="00B1223D"/>
    <w:rsid w:val="00B12625"/>
    <w:rsid w:val="00B126A6"/>
    <w:rsid w:val="00B12EE7"/>
    <w:rsid w:val="00B130B1"/>
    <w:rsid w:val="00B13294"/>
    <w:rsid w:val="00B13695"/>
    <w:rsid w:val="00B1392F"/>
    <w:rsid w:val="00B13A6F"/>
    <w:rsid w:val="00B1413B"/>
    <w:rsid w:val="00B14661"/>
    <w:rsid w:val="00B150A7"/>
    <w:rsid w:val="00B15654"/>
    <w:rsid w:val="00B1643A"/>
    <w:rsid w:val="00B164EE"/>
    <w:rsid w:val="00B16857"/>
    <w:rsid w:val="00B16C8F"/>
    <w:rsid w:val="00B1716A"/>
    <w:rsid w:val="00B20297"/>
    <w:rsid w:val="00B2087C"/>
    <w:rsid w:val="00B20886"/>
    <w:rsid w:val="00B211B0"/>
    <w:rsid w:val="00B215EB"/>
    <w:rsid w:val="00B21F04"/>
    <w:rsid w:val="00B2223F"/>
    <w:rsid w:val="00B23045"/>
    <w:rsid w:val="00B2349D"/>
    <w:rsid w:val="00B23523"/>
    <w:rsid w:val="00B236D7"/>
    <w:rsid w:val="00B23FC8"/>
    <w:rsid w:val="00B24AC8"/>
    <w:rsid w:val="00B25012"/>
    <w:rsid w:val="00B253EA"/>
    <w:rsid w:val="00B25F16"/>
    <w:rsid w:val="00B260DD"/>
    <w:rsid w:val="00B2613A"/>
    <w:rsid w:val="00B26264"/>
    <w:rsid w:val="00B2710B"/>
    <w:rsid w:val="00B271BC"/>
    <w:rsid w:val="00B276BF"/>
    <w:rsid w:val="00B30A12"/>
    <w:rsid w:val="00B30DF7"/>
    <w:rsid w:val="00B3184C"/>
    <w:rsid w:val="00B31BE7"/>
    <w:rsid w:val="00B32DD2"/>
    <w:rsid w:val="00B33BE6"/>
    <w:rsid w:val="00B3448A"/>
    <w:rsid w:val="00B351D9"/>
    <w:rsid w:val="00B352A9"/>
    <w:rsid w:val="00B35452"/>
    <w:rsid w:val="00B35CC1"/>
    <w:rsid w:val="00B35F34"/>
    <w:rsid w:val="00B36016"/>
    <w:rsid w:val="00B36315"/>
    <w:rsid w:val="00B3664C"/>
    <w:rsid w:val="00B37780"/>
    <w:rsid w:val="00B378D2"/>
    <w:rsid w:val="00B37A1F"/>
    <w:rsid w:val="00B37C33"/>
    <w:rsid w:val="00B37EFA"/>
    <w:rsid w:val="00B402DC"/>
    <w:rsid w:val="00B40BEE"/>
    <w:rsid w:val="00B41113"/>
    <w:rsid w:val="00B41364"/>
    <w:rsid w:val="00B4150A"/>
    <w:rsid w:val="00B4153A"/>
    <w:rsid w:val="00B42312"/>
    <w:rsid w:val="00B43098"/>
    <w:rsid w:val="00B431A9"/>
    <w:rsid w:val="00B43C2A"/>
    <w:rsid w:val="00B447AE"/>
    <w:rsid w:val="00B44DDE"/>
    <w:rsid w:val="00B46406"/>
    <w:rsid w:val="00B46418"/>
    <w:rsid w:val="00B468BE"/>
    <w:rsid w:val="00B46FCA"/>
    <w:rsid w:val="00B47498"/>
    <w:rsid w:val="00B476B7"/>
    <w:rsid w:val="00B47C97"/>
    <w:rsid w:val="00B506CB"/>
    <w:rsid w:val="00B507D2"/>
    <w:rsid w:val="00B50C01"/>
    <w:rsid w:val="00B50E01"/>
    <w:rsid w:val="00B52377"/>
    <w:rsid w:val="00B52572"/>
    <w:rsid w:val="00B525B2"/>
    <w:rsid w:val="00B5293E"/>
    <w:rsid w:val="00B52D23"/>
    <w:rsid w:val="00B52D3B"/>
    <w:rsid w:val="00B542C1"/>
    <w:rsid w:val="00B54536"/>
    <w:rsid w:val="00B54542"/>
    <w:rsid w:val="00B545E7"/>
    <w:rsid w:val="00B54873"/>
    <w:rsid w:val="00B54A92"/>
    <w:rsid w:val="00B55193"/>
    <w:rsid w:val="00B56430"/>
    <w:rsid w:val="00B5667D"/>
    <w:rsid w:val="00B567EC"/>
    <w:rsid w:val="00B56A63"/>
    <w:rsid w:val="00B60A6B"/>
    <w:rsid w:val="00B60F41"/>
    <w:rsid w:val="00B618B5"/>
    <w:rsid w:val="00B61D3A"/>
    <w:rsid w:val="00B626BD"/>
    <w:rsid w:val="00B62D62"/>
    <w:rsid w:val="00B6380B"/>
    <w:rsid w:val="00B63DE2"/>
    <w:rsid w:val="00B6448C"/>
    <w:rsid w:val="00B64A1F"/>
    <w:rsid w:val="00B6505D"/>
    <w:rsid w:val="00B65524"/>
    <w:rsid w:val="00B65C80"/>
    <w:rsid w:val="00B65E37"/>
    <w:rsid w:val="00B66603"/>
    <w:rsid w:val="00B66619"/>
    <w:rsid w:val="00B67290"/>
    <w:rsid w:val="00B67C1C"/>
    <w:rsid w:val="00B67E35"/>
    <w:rsid w:val="00B67EF3"/>
    <w:rsid w:val="00B70252"/>
    <w:rsid w:val="00B70361"/>
    <w:rsid w:val="00B70634"/>
    <w:rsid w:val="00B70A5C"/>
    <w:rsid w:val="00B71440"/>
    <w:rsid w:val="00B71459"/>
    <w:rsid w:val="00B71920"/>
    <w:rsid w:val="00B71BD1"/>
    <w:rsid w:val="00B71D6F"/>
    <w:rsid w:val="00B72D8E"/>
    <w:rsid w:val="00B74555"/>
    <w:rsid w:val="00B74726"/>
    <w:rsid w:val="00B74AA8"/>
    <w:rsid w:val="00B75016"/>
    <w:rsid w:val="00B75B51"/>
    <w:rsid w:val="00B76CA9"/>
    <w:rsid w:val="00B77CF5"/>
    <w:rsid w:val="00B77D21"/>
    <w:rsid w:val="00B77FF6"/>
    <w:rsid w:val="00B801C1"/>
    <w:rsid w:val="00B80441"/>
    <w:rsid w:val="00B805FB"/>
    <w:rsid w:val="00B8092D"/>
    <w:rsid w:val="00B80A67"/>
    <w:rsid w:val="00B80D43"/>
    <w:rsid w:val="00B82C72"/>
    <w:rsid w:val="00B82E27"/>
    <w:rsid w:val="00B83815"/>
    <w:rsid w:val="00B839F0"/>
    <w:rsid w:val="00B847E8"/>
    <w:rsid w:val="00B8496F"/>
    <w:rsid w:val="00B852EB"/>
    <w:rsid w:val="00B8537A"/>
    <w:rsid w:val="00B85569"/>
    <w:rsid w:val="00B873F3"/>
    <w:rsid w:val="00B875B7"/>
    <w:rsid w:val="00B87F8D"/>
    <w:rsid w:val="00B9017C"/>
    <w:rsid w:val="00B903A3"/>
    <w:rsid w:val="00B90966"/>
    <w:rsid w:val="00B90A85"/>
    <w:rsid w:val="00B90D68"/>
    <w:rsid w:val="00B91DB9"/>
    <w:rsid w:val="00B921FA"/>
    <w:rsid w:val="00B92A21"/>
    <w:rsid w:val="00B93562"/>
    <w:rsid w:val="00B937D2"/>
    <w:rsid w:val="00B93A07"/>
    <w:rsid w:val="00B93A68"/>
    <w:rsid w:val="00B93DEF"/>
    <w:rsid w:val="00B94248"/>
    <w:rsid w:val="00B945E3"/>
    <w:rsid w:val="00B94FF4"/>
    <w:rsid w:val="00B9520D"/>
    <w:rsid w:val="00B95CDC"/>
    <w:rsid w:val="00B9622E"/>
    <w:rsid w:val="00B96767"/>
    <w:rsid w:val="00B96A8F"/>
    <w:rsid w:val="00B96E95"/>
    <w:rsid w:val="00B97280"/>
    <w:rsid w:val="00B9730C"/>
    <w:rsid w:val="00B97583"/>
    <w:rsid w:val="00B97602"/>
    <w:rsid w:val="00B97D54"/>
    <w:rsid w:val="00B97DA5"/>
    <w:rsid w:val="00BA0430"/>
    <w:rsid w:val="00BA0C13"/>
    <w:rsid w:val="00BA0C26"/>
    <w:rsid w:val="00BA0D90"/>
    <w:rsid w:val="00BA16A4"/>
    <w:rsid w:val="00BA1AE0"/>
    <w:rsid w:val="00BA1D0B"/>
    <w:rsid w:val="00BA1F1F"/>
    <w:rsid w:val="00BA1F71"/>
    <w:rsid w:val="00BA26FE"/>
    <w:rsid w:val="00BA2902"/>
    <w:rsid w:val="00BA3551"/>
    <w:rsid w:val="00BA35C6"/>
    <w:rsid w:val="00BA3829"/>
    <w:rsid w:val="00BA4FFA"/>
    <w:rsid w:val="00BA52C0"/>
    <w:rsid w:val="00BA5ACF"/>
    <w:rsid w:val="00BA613D"/>
    <w:rsid w:val="00BA685D"/>
    <w:rsid w:val="00BA7209"/>
    <w:rsid w:val="00BB007D"/>
    <w:rsid w:val="00BB04FF"/>
    <w:rsid w:val="00BB190C"/>
    <w:rsid w:val="00BB1C70"/>
    <w:rsid w:val="00BB301B"/>
    <w:rsid w:val="00BB353B"/>
    <w:rsid w:val="00BB35FE"/>
    <w:rsid w:val="00BB3937"/>
    <w:rsid w:val="00BB48CC"/>
    <w:rsid w:val="00BB4E32"/>
    <w:rsid w:val="00BB52A2"/>
    <w:rsid w:val="00BB573E"/>
    <w:rsid w:val="00BB5793"/>
    <w:rsid w:val="00BB5F46"/>
    <w:rsid w:val="00BB6E33"/>
    <w:rsid w:val="00BB7A3D"/>
    <w:rsid w:val="00BB7FEA"/>
    <w:rsid w:val="00BC06CD"/>
    <w:rsid w:val="00BC0924"/>
    <w:rsid w:val="00BC11F6"/>
    <w:rsid w:val="00BC25A0"/>
    <w:rsid w:val="00BC2D59"/>
    <w:rsid w:val="00BC327F"/>
    <w:rsid w:val="00BC4000"/>
    <w:rsid w:val="00BC5912"/>
    <w:rsid w:val="00BC5DCD"/>
    <w:rsid w:val="00BC73FA"/>
    <w:rsid w:val="00BC7DFA"/>
    <w:rsid w:val="00BD0833"/>
    <w:rsid w:val="00BD0B95"/>
    <w:rsid w:val="00BD0D0F"/>
    <w:rsid w:val="00BD1FC8"/>
    <w:rsid w:val="00BD2396"/>
    <w:rsid w:val="00BD2473"/>
    <w:rsid w:val="00BD2C1E"/>
    <w:rsid w:val="00BD3227"/>
    <w:rsid w:val="00BD37AF"/>
    <w:rsid w:val="00BD4425"/>
    <w:rsid w:val="00BD4A08"/>
    <w:rsid w:val="00BD4ABE"/>
    <w:rsid w:val="00BD4B33"/>
    <w:rsid w:val="00BD4D26"/>
    <w:rsid w:val="00BD6361"/>
    <w:rsid w:val="00BD6480"/>
    <w:rsid w:val="00BD6BE5"/>
    <w:rsid w:val="00BD6D92"/>
    <w:rsid w:val="00BD6E04"/>
    <w:rsid w:val="00BD7188"/>
    <w:rsid w:val="00BD78F5"/>
    <w:rsid w:val="00BD7ABC"/>
    <w:rsid w:val="00BD7CD8"/>
    <w:rsid w:val="00BE0317"/>
    <w:rsid w:val="00BE0718"/>
    <w:rsid w:val="00BE07B0"/>
    <w:rsid w:val="00BE089A"/>
    <w:rsid w:val="00BE0D2B"/>
    <w:rsid w:val="00BE0D9C"/>
    <w:rsid w:val="00BE0E97"/>
    <w:rsid w:val="00BE0FC1"/>
    <w:rsid w:val="00BE11A7"/>
    <w:rsid w:val="00BE1235"/>
    <w:rsid w:val="00BE28AF"/>
    <w:rsid w:val="00BE3246"/>
    <w:rsid w:val="00BE33C3"/>
    <w:rsid w:val="00BE3962"/>
    <w:rsid w:val="00BE3B2F"/>
    <w:rsid w:val="00BE40C6"/>
    <w:rsid w:val="00BE43B0"/>
    <w:rsid w:val="00BE453C"/>
    <w:rsid w:val="00BE4823"/>
    <w:rsid w:val="00BE4EBE"/>
    <w:rsid w:val="00BE5736"/>
    <w:rsid w:val="00BE5F1B"/>
    <w:rsid w:val="00BE6503"/>
    <w:rsid w:val="00BE7520"/>
    <w:rsid w:val="00BE7850"/>
    <w:rsid w:val="00BE7B08"/>
    <w:rsid w:val="00BE7C09"/>
    <w:rsid w:val="00BE7DDC"/>
    <w:rsid w:val="00BF010D"/>
    <w:rsid w:val="00BF0185"/>
    <w:rsid w:val="00BF0472"/>
    <w:rsid w:val="00BF0B73"/>
    <w:rsid w:val="00BF16D8"/>
    <w:rsid w:val="00BF1750"/>
    <w:rsid w:val="00BF1FBD"/>
    <w:rsid w:val="00BF2D66"/>
    <w:rsid w:val="00BF305B"/>
    <w:rsid w:val="00BF308E"/>
    <w:rsid w:val="00BF3659"/>
    <w:rsid w:val="00BF37E2"/>
    <w:rsid w:val="00BF4652"/>
    <w:rsid w:val="00BF472B"/>
    <w:rsid w:val="00BF4855"/>
    <w:rsid w:val="00BF48B4"/>
    <w:rsid w:val="00BF5689"/>
    <w:rsid w:val="00BF5769"/>
    <w:rsid w:val="00BF60B8"/>
    <w:rsid w:val="00BF661B"/>
    <w:rsid w:val="00BF67FA"/>
    <w:rsid w:val="00BF69F0"/>
    <w:rsid w:val="00BF6DBF"/>
    <w:rsid w:val="00BF73FE"/>
    <w:rsid w:val="00C00052"/>
    <w:rsid w:val="00C009E5"/>
    <w:rsid w:val="00C00ACB"/>
    <w:rsid w:val="00C00BF5"/>
    <w:rsid w:val="00C00D04"/>
    <w:rsid w:val="00C013B6"/>
    <w:rsid w:val="00C015BD"/>
    <w:rsid w:val="00C01689"/>
    <w:rsid w:val="00C0174E"/>
    <w:rsid w:val="00C01772"/>
    <w:rsid w:val="00C01BCE"/>
    <w:rsid w:val="00C020E8"/>
    <w:rsid w:val="00C02245"/>
    <w:rsid w:val="00C02C06"/>
    <w:rsid w:val="00C03CC9"/>
    <w:rsid w:val="00C03EA6"/>
    <w:rsid w:val="00C053E6"/>
    <w:rsid w:val="00C05C6B"/>
    <w:rsid w:val="00C05D44"/>
    <w:rsid w:val="00C06D8B"/>
    <w:rsid w:val="00C071FA"/>
    <w:rsid w:val="00C073DE"/>
    <w:rsid w:val="00C07CAC"/>
    <w:rsid w:val="00C109C6"/>
    <w:rsid w:val="00C10EE8"/>
    <w:rsid w:val="00C117A6"/>
    <w:rsid w:val="00C117A9"/>
    <w:rsid w:val="00C11A26"/>
    <w:rsid w:val="00C120E9"/>
    <w:rsid w:val="00C12287"/>
    <w:rsid w:val="00C127E9"/>
    <w:rsid w:val="00C137F5"/>
    <w:rsid w:val="00C14EFF"/>
    <w:rsid w:val="00C15B56"/>
    <w:rsid w:val="00C17002"/>
    <w:rsid w:val="00C17855"/>
    <w:rsid w:val="00C20A84"/>
    <w:rsid w:val="00C21CF3"/>
    <w:rsid w:val="00C21E4B"/>
    <w:rsid w:val="00C223DA"/>
    <w:rsid w:val="00C2294B"/>
    <w:rsid w:val="00C232A2"/>
    <w:rsid w:val="00C23779"/>
    <w:rsid w:val="00C23AF4"/>
    <w:rsid w:val="00C241D3"/>
    <w:rsid w:val="00C2481C"/>
    <w:rsid w:val="00C24984"/>
    <w:rsid w:val="00C24A75"/>
    <w:rsid w:val="00C24DB4"/>
    <w:rsid w:val="00C26442"/>
    <w:rsid w:val="00C266F5"/>
    <w:rsid w:val="00C26C9E"/>
    <w:rsid w:val="00C27848"/>
    <w:rsid w:val="00C27A97"/>
    <w:rsid w:val="00C30A59"/>
    <w:rsid w:val="00C30AE3"/>
    <w:rsid w:val="00C31AA8"/>
    <w:rsid w:val="00C31EB4"/>
    <w:rsid w:val="00C31F9E"/>
    <w:rsid w:val="00C324C5"/>
    <w:rsid w:val="00C32680"/>
    <w:rsid w:val="00C3290C"/>
    <w:rsid w:val="00C330EC"/>
    <w:rsid w:val="00C344E0"/>
    <w:rsid w:val="00C34523"/>
    <w:rsid w:val="00C34885"/>
    <w:rsid w:val="00C34A4B"/>
    <w:rsid w:val="00C34ACF"/>
    <w:rsid w:val="00C34EB1"/>
    <w:rsid w:val="00C350EC"/>
    <w:rsid w:val="00C35A40"/>
    <w:rsid w:val="00C35D0D"/>
    <w:rsid w:val="00C3780F"/>
    <w:rsid w:val="00C40209"/>
    <w:rsid w:val="00C40457"/>
    <w:rsid w:val="00C40577"/>
    <w:rsid w:val="00C40A96"/>
    <w:rsid w:val="00C40C32"/>
    <w:rsid w:val="00C4146C"/>
    <w:rsid w:val="00C41959"/>
    <w:rsid w:val="00C43FDF"/>
    <w:rsid w:val="00C44725"/>
    <w:rsid w:val="00C447EC"/>
    <w:rsid w:val="00C449F3"/>
    <w:rsid w:val="00C44F42"/>
    <w:rsid w:val="00C459AD"/>
    <w:rsid w:val="00C46501"/>
    <w:rsid w:val="00C4770A"/>
    <w:rsid w:val="00C47A4B"/>
    <w:rsid w:val="00C47B74"/>
    <w:rsid w:val="00C5076F"/>
    <w:rsid w:val="00C508E5"/>
    <w:rsid w:val="00C511B3"/>
    <w:rsid w:val="00C5132F"/>
    <w:rsid w:val="00C527BE"/>
    <w:rsid w:val="00C528FD"/>
    <w:rsid w:val="00C52C4C"/>
    <w:rsid w:val="00C52F35"/>
    <w:rsid w:val="00C533F5"/>
    <w:rsid w:val="00C538D0"/>
    <w:rsid w:val="00C53B44"/>
    <w:rsid w:val="00C54333"/>
    <w:rsid w:val="00C557E7"/>
    <w:rsid w:val="00C5594A"/>
    <w:rsid w:val="00C56451"/>
    <w:rsid w:val="00C5662E"/>
    <w:rsid w:val="00C5683B"/>
    <w:rsid w:val="00C56BB6"/>
    <w:rsid w:val="00C56DC6"/>
    <w:rsid w:val="00C577D4"/>
    <w:rsid w:val="00C578E0"/>
    <w:rsid w:val="00C61122"/>
    <w:rsid w:val="00C61809"/>
    <w:rsid w:val="00C62B92"/>
    <w:rsid w:val="00C635A0"/>
    <w:rsid w:val="00C636C7"/>
    <w:rsid w:val="00C63B58"/>
    <w:rsid w:val="00C63BB8"/>
    <w:rsid w:val="00C63DB1"/>
    <w:rsid w:val="00C63F01"/>
    <w:rsid w:val="00C64B0E"/>
    <w:rsid w:val="00C64F10"/>
    <w:rsid w:val="00C651EF"/>
    <w:rsid w:val="00C6680E"/>
    <w:rsid w:val="00C66E3C"/>
    <w:rsid w:val="00C66ECD"/>
    <w:rsid w:val="00C674C1"/>
    <w:rsid w:val="00C703AA"/>
    <w:rsid w:val="00C70A14"/>
    <w:rsid w:val="00C71835"/>
    <w:rsid w:val="00C71B29"/>
    <w:rsid w:val="00C71C63"/>
    <w:rsid w:val="00C71CA6"/>
    <w:rsid w:val="00C72500"/>
    <w:rsid w:val="00C725B7"/>
    <w:rsid w:val="00C73079"/>
    <w:rsid w:val="00C73523"/>
    <w:rsid w:val="00C73B7A"/>
    <w:rsid w:val="00C74281"/>
    <w:rsid w:val="00C74395"/>
    <w:rsid w:val="00C744C0"/>
    <w:rsid w:val="00C74E41"/>
    <w:rsid w:val="00C75952"/>
    <w:rsid w:val="00C75E07"/>
    <w:rsid w:val="00C76A74"/>
    <w:rsid w:val="00C76B2D"/>
    <w:rsid w:val="00C76C4F"/>
    <w:rsid w:val="00C7711D"/>
    <w:rsid w:val="00C7773D"/>
    <w:rsid w:val="00C804CB"/>
    <w:rsid w:val="00C8052D"/>
    <w:rsid w:val="00C80BD8"/>
    <w:rsid w:val="00C81778"/>
    <w:rsid w:val="00C81DAE"/>
    <w:rsid w:val="00C81FBB"/>
    <w:rsid w:val="00C82488"/>
    <w:rsid w:val="00C8253C"/>
    <w:rsid w:val="00C82729"/>
    <w:rsid w:val="00C8297E"/>
    <w:rsid w:val="00C829C5"/>
    <w:rsid w:val="00C83EF8"/>
    <w:rsid w:val="00C8512E"/>
    <w:rsid w:val="00C85650"/>
    <w:rsid w:val="00C8587C"/>
    <w:rsid w:val="00C85941"/>
    <w:rsid w:val="00C85F78"/>
    <w:rsid w:val="00C85FB6"/>
    <w:rsid w:val="00C862E2"/>
    <w:rsid w:val="00C879D5"/>
    <w:rsid w:val="00C9008D"/>
    <w:rsid w:val="00C914B9"/>
    <w:rsid w:val="00C923F6"/>
    <w:rsid w:val="00C92CAE"/>
    <w:rsid w:val="00C936B1"/>
    <w:rsid w:val="00C94317"/>
    <w:rsid w:val="00C94387"/>
    <w:rsid w:val="00C94B80"/>
    <w:rsid w:val="00C9507D"/>
    <w:rsid w:val="00C958A2"/>
    <w:rsid w:val="00C95FC9"/>
    <w:rsid w:val="00C960B8"/>
    <w:rsid w:val="00C96390"/>
    <w:rsid w:val="00C964FA"/>
    <w:rsid w:val="00C96C22"/>
    <w:rsid w:val="00C97BE4"/>
    <w:rsid w:val="00C97C73"/>
    <w:rsid w:val="00CA025D"/>
    <w:rsid w:val="00CA0475"/>
    <w:rsid w:val="00CA0FC6"/>
    <w:rsid w:val="00CA1BF4"/>
    <w:rsid w:val="00CA294F"/>
    <w:rsid w:val="00CA2D18"/>
    <w:rsid w:val="00CA3314"/>
    <w:rsid w:val="00CA3C86"/>
    <w:rsid w:val="00CA3FAC"/>
    <w:rsid w:val="00CA4054"/>
    <w:rsid w:val="00CA414D"/>
    <w:rsid w:val="00CA41A0"/>
    <w:rsid w:val="00CA49F7"/>
    <w:rsid w:val="00CA4DE6"/>
    <w:rsid w:val="00CA575C"/>
    <w:rsid w:val="00CA5F99"/>
    <w:rsid w:val="00CA6DA4"/>
    <w:rsid w:val="00CA6F61"/>
    <w:rsid w:val="00CA75D7"/>
    <w:rsid w:val="00CA781B"/>
    <w:rsid w:val="00CB179F"/>
    <w:rsid w:val="00CB17BD"/>
    <w:rsid w:val="00CB1852"/>
    <w:rsid w:val="00CB45E6"/>
    <w:rsid w:val="00CB4C43"/>
    <w:rsid w:val="00CB54E6"/>
    <w:rsid w:val="00CB5C8D"/>
    <w:rsid w:val="00CB64E2"/>
    <w:rsid w:val="00CB67ED"/>
    <w:rsid w:val="00CB723C"/>
    <w:rsid w:val="00CB7711"/>
    <w:rsid w:val="00CC087E"/>
    <w:rsid w:val="00CC0E9F"/>
    <w:rsid w:val="00CC1B1A"/>
    <w:rsid w:val="00CC1F83"/>
    <w:rsid w:val="00CC21FE"/>
    <w:rsid w:val="00CC2482"/>
    <w:rsid w:val="00CC2AEB"/>
    <w:rsid w:val="00CC3B00"/>
    <w:rsid w:val="00CC3BF5"/>
    <w:rsid w:val="00CC3EA5"/>
    <w:rsid w:val="00CC41B2"/>
    <w:rsid w:val="00CC4D7E"/>
    <w:rsid w:val="00CC5622"/>
    <w:rsid w:val="00CC5F40"/>
    <w:rsid w:val="00CC5F71"/>
    <w:rsid w:val="00CC744F"/>
    <w:rsid w:val="00CC7774"/>
    <w:rsid w:val="00CC7C4C"/>
    <w:rsid w:val="00CD0181"/>
    <w:rsid w:val="00CD0657"/>
    <w:rsid w:val="00CD123D"/>
    <w:rsid w:val="00CD2D89"/>
    <w:rsid w:val="00CD3063"/>
    <w:rsid w:val="00CD36E0"/>
    <w:rsid w:val="00CD3D15"/>
    <w:rsid w:val="00CD5386"/>
    <w:rsid w:val="00CD55FE"/>
    <w:rsid w:val="00CD5C93"/>
    <w:rsid w:val="00CD640B"/>
    <w:rsid w:val="00CD6617"/>
    <w:rsid w:val="00CD6B91"/>
    <w:rsid w:val="00CD7526"/>
    <w:rsid w:val="00CD77DC"/>
    <w:rsid w:val="00CD7817"/>
    <w:rsid w:val="00CD794B"/>
    <w:rsid w:val="00CD7B49"/>
    <w:rsid w:val="00CD7DAA"/>
    <w:rsid w:val="00CD7DCB"/>
    <w:rsid w:val="00CD7E39"/>
    <w:rsid w:val="00CE0E36"/>
    <w:rsid w:val="00CE128D"/>
    <w:rsid w:val="00CE13C6"/>
    <w:rsid w:val="00CE147E"/>
    <w:rsid w:val="00CE23A0"/>
    <w:rsid w:val="00CE2412"/>
    <w:rsid w:val="00CE35A0"/>
    <w:rsid w:val="00CE3B10"/>
    <w:rsid w:val="00CE3EB6"/>
    <w:rsid w:val="00CE3EF8"/>
    <w:rsid w:val="00CE41F2"/>
    <w:rsid w:val="00CE420C"/>
    <w:rsid w:val="00CE4927"/>
    <w:rsid w:val="00CE4E44"/>
    <w:rsid w:val="00CE5268"/>
    <w:rsid w:val="00CE5903"/>
    <w:rsid w:val="00CE5C88"/>
    <w:rsid w:val="00CE63E4"/>
    <w:rsid w:val="00CE68A3"/>
    <w:rsid w:val="00CE6AC5"/>
    <w:rsid w:val="00CE6AD8"/>
    <w:rsid w:val="00CE73A7"/>
    <w:rsid w:val="00CF0249"/>
    <w:rsid w:val="00CF0737"/>
    <w:rsid w:val="00CF0973"/>
    <w:rsid w:val="00CF0AF1"/>
    <w:rsid w:val="00CF14F5"/>
    <w:rsid w:val="00CF1587"/>
    <w:rsid w:val="00CF16EB"/>
    <w:rsid w:val="00CF178E"/>
    <w:rsid w:val="00CF1CE2"/>
    <w:rsid w:val="00CF1FCF"/>
    <w:rsid w:val="00CF205D"/>
    <w:rsid w:val="00CF2680"/>
    <w:rsid w:val="00CF2EA3"/>
    <w:rsid w:val="00CF3369"/>
    <w:rsid w:val="00CF3447"/>
    <w:rsid w:val="00CF39FD"/>
    <w:rsid w:val="00CF3AD0"/>
    <w:rsid w:val="00CF3D96"/>
    <w:rsid w:val="00CF465A"/>
    <w:rsid w:val="00CF4E20"/>
    <w:rsid w:val="00CF5447"/>
    <w:rsid w:val="00CF5826"/>
    <w:rsid w:val="00CF59FB"/>
    <w:rsid w:val="00CF5B35"/>
    <w:rsid w:val="00CF5F8E"/>
    <w:rsid w:val="00CF7478"/>
    <w:rsid w:val="00CF7C0E"/>
    <w:rsid w:val="00CF7F2A"/>
    <w:rsid w:val="00D00176"/>
    <w:rsid w:val="00D00C82"/>
    <w:rsid w:val="00D0114F"/>
    <w:rsid w:val="00D01A33"/>
    <w:rsid w:val="00D02F39"/>
    <w:rsid w:val="00D0300C"/>
    <w:rsid w:val="00D030C9"/>
    <w:rsid w:val="00D03150"/>
    <w:rsid w:val="00D04CDA"/>
    <w:rsid w:val="00D04D4F"/>
    <w:rsid w:val="00D057F2"/>
    <w:rsid w:val="00D05CB0"/>
    <w:rsid w:val="00D05DC4"/>
    <w:rsid w:val="00D063D0"/>
    <w:rsid w:val="00D0648A"/>
    <w:rsid w:val="00D06931"/>
    <w:rsid w:val="00D06A42"/>
    <w:rsid w:val="00D0742B"/>
    <w:rsid w:val="00D079FB"/>
    <w:rsid w:val="00D100F1"/>
    <w:rsid w:val="00D1011F"/>
    <w:rsid w:val="00D1054E"/>
    <w:rsid w:val="00D106FA"/>
    <w:rsid w:val="00D10BF1"/>
    <w:rsid w:val="00D1103C"/>
    <w:rsid w:val="00D1135D"/>
    <w:rsid w:val="00D116D9"/>
    <w:rsid w:val="00D1279C"/>
    <w:rsid w:val="00D13EF4"/>
    <w:rsid w:val="00D14ABE"/>
    <w:rsid w:val="00D15180"/>
    <w:rsid w:val="00D15B56"/>
    <w:rsid w:val="00D15C39"/>
    <w:rsid w:val="00D16118"/>
    <w:rsid w:val="00D1628B"/>
    <w:rsid w:val="00D169E9"/>
    <w:rsid w:val="00D1719F"/>
    <w:rsid w:val="00D171D5"/>
    <w:rsid w:val="00D174EC"/>
    <w:rsid w:val="00D17709"/>
    <w:rsid w:val="00D17BE5"/>
    <w:rsid w:val="00D202F6"/>
    <w:rsid w:val="00D20E76"/>
    <w:rsid w:val="00D2148F"/>
    <w:rsid w:val="00D21553"/>
    <w:rsid w:val="00D21725"/>
    <w:rsid w:val="00D221AF"/>
    <w:rsid w:val="00D2291F"/>
    <w:rsid w:val="00D2319F"/>
    <w:rsid w:val="00D23387"/>
    <w:rsid w:val="00D23D66"/>
    <w:rsid w:val="00D251CE"/>
    <w:rsid w:val="00D25638"/>
    <w:rsid w:val="00D26D45"/>
    <w:rsid w:val="00D27D37"/>
    <w:rsid w:val="00D30371"/>
    <w:rsid w:val="00D30E43"/>
    <w:rsid w:val="00D31225"/>
    <w:rsid w:val="00D31E8B"/>
    <w:rsid w:val="00D3221E"/>
    <w:rsid w:val="00D329DE"/>
    <w:rsid w:val="00D32CE0"/>
    <w:rsid w:val="00D33489"/>
    <w:rsid w:val="00D3389D"/>
    <w:rsid w:val="00D3412A"/>
    <w:rsid w:val="00D34315"/>
    <w:rsid w:val="00D34B53"/>
    <w:rsid w:val="00D35F16"/>
    <w:rsid w:val="00D367A5"/>
    <w:rsid w:val="00D36C5A"/>
    <w:rsid w:val="00D37317"/>
    <w:rsid w:val="00D3775B"/>
    <w:rsid w:val="00D37A06"/>
    <w:rsid w:val="00D402BD"/>
    <w:rsid w:val="00D40B8A"/>
    <w:rsid w:val="00D40F3C"/>
    <w:rsid w:val="00D42073"/>
    <w:rsid w:val="00D42ACA"/>
    <w:rsid w:val="00D440B6"/>
    <w:rsid w:val="00D443E9"/>
    <w:rsid w:val="00D44D83"/>
    <w:rsid w:val="00D45D2B"/>
    <w:rsid w:val="00D45F0F"/>
    <w:rsid w:val="00D463AC"/>
    <w:rsid w:val="00D46823"/>
    <w:rsid w:val="00D46CB4"/>
    <w:rsid w:val="00D46DA1"/>
    <w:rsid w:val="00D47136"/>
    <w:rsid w:val="00D47886"/>
    <w:rsid w:val="00D47F4B"/>
    <w:rsid w:val="00D502F5"/>
    <w:rsid w:val="00D5076D"/>
    <w:rsid w:val="00D50F03"/>
    <w:rsid w:val="00D51464"/>
    <w:rsid w:val="00D525A1"/>
    <w:rsid w:val="00D5414C"/>
    <w:rsid w:val="00D544B0"/>
    <w:rsid w:val="00D5478B"/>
    <w:rsid w:val="00D54BF9"/>
    <w:rsid w:val="00D55361"/>
    <w:rsid w:val="00D5624D"/>
    <w:rsid w:val="00D564CA"/>
    <w:rsid w:val="00D568D6"/>
    <w:rsid w:val="00D568E8"/>
    <w:rsid w:val="00D56AAF"/>
    <w:rsid w:val="00D56FCC"/>
    <w:rsid w:val="00D57C52"/>
    <w:rsid w:val="00D60AAF"/>
    <w:rsid w:val="00D61133"/>
    <w:rsid w:val="00D612D9"/>
    <w:rsid w:val="00D613CE"/>
    <w:rsid w:val="00D62F60"/>
    <w:rsid w:val="00D63564"/>
    <w:rsid w:val="00D63C2E"/>
    <w:rsid w:val="00D64607"/>
    <w:rsid w:val="00D647A3"/>
    <w:rsid w:val="00D64FD3"/>
    <w:rsid w:val="00D65132"/>
    <w:rsid w:val="00D65915"/>
    <w:rsid w:val="00D65A64"/>
    <w:rsid w:val="00D65E63"/>
    <w:rsid w:val="00D665D2"/>
    <w:rsid w:val="00D669C2"/>
    <w:rsid w:val="00D67009"/>
    <w:rsid w:val="00D67271"/>
    <w:rsid w:val="00D672A4"/>
    <w:rsid w:val="00D70DAB"/>
    <w:rsid w:val="00D712B6"/>
    <w:rsid w:val="00D72B3D"/>
    <w:rsid w:val="00D73797"/>
    <w:rsid w:val="00D73CA9"/>
    <w:rsid w:val="00D74B7C"/>
    <w:rsid w:val="00D75591"/>
    <w:rsid w:val="00D75C85"/>
    <w:rsid w:val="00D76F65"/>
    <w:rsid w:val="00D773D9"/>
    <w:rsid w:val="00D77790"/>
    <w:rsid w:val="00D80701"/>
    <w:rsid w:val="00D80BBF"/>
    <w:rsid w:val="00D80E7D"/>
    <w:rsid w:val="00D811D4"/>
    <w:rsid w:val="00D81413"/>
    <w:rsid w:val="00D81FB1"/>
    <w:rsid w:val="00D82569"/>
    <w:rsid w:val="00D8286C"/>
    <w:rsid w:val="00D83337"/>
    <w:rsid w:val="00D835FD"/>
    <w:rsid w:val="00D83C5D"/>
    <w:rsid w:val="00D83CA3"/>
    <w:rsid w:val="00D84310"/>
    <w:rsid w:val="00D843A4"/>
    <w:rsid w:val="00D8475E"/>
    <w:rsid w:val="00D852E5"/>
    <w:rsid w:val="00D85A31"/>
    <w:rsid w:val="00D85E8A"/>
    <w:rsid w:val="00D85F2A"/>
    <w:rsid w:val="00D85FBA"/>
    <w:rsid w:val="00D862DF"/>
    <w:rsid w:val="00D86707"/>
    <w:rsid w:val="00D86A57"/>
    <w:rsid w:val="00D86C70"/>
    <w:rsid w:val="00D87C82"/>
    <w:rsid w:val="00D90672"/>
    <w:rsid w:val="00D90815"/>
    <w:rsid w:val="00D909BC"/>
    <w:rsid w:val="00D91355"/>
    <w:rsid w:val="00D9194F"/>
    <w:rsid w:val="00D91BA6"/>
    <w:rsid w:val="00D9250B"/>
    <w:rsid w:val="00D92DA6"/>
    <w:rsid w:val="00D934B2"/>
    <w:rsid w:val="00D93905"/>
    <w:rsid w:val="00D93B5D"/>
    <w:rsid w:val="00D93E21"/>
    <w:rsid w:val="00D94115"/>
    <w:rsid w:val="00D94385"/>
    <w:rsid w:val="00D94B86"/>
    <w:rsid w:val="00D95B34"/>
    <w:rsid w:val="00D96301"/>
    <w:rsid w:val="00D968BC"/>
    <w:rsid w:val="00D96D11"/>
    <w:rsid w:val="00D96D47"/>
    <w:rsid w:val="00D972AB"/>
    <w:rsid w:val="00D97466"/>
    <w:rsid w:val="00D97914"/>
    <w:rsid w:val="00D97E53"/>
    <w:rsid w:val="00DA0EF3"/>
    <w:rsid w:val="00DA1071"/>
    <w:rsid w:val="00DA1804"/>
    <w:rsid w:val="00DA1B70"/>
    <w:rsid w:val="00DA1DF8"/>
    <w:rsid w:val="00DA2AC2"/>
    <w:rsid w:val="00DA385D"/>
    <w:rsid w:val="00DA3903"/>
    <w:rsid w:val="00DA3EF0"/>
    <w:rsid w:val="00DA4293"/>
    <w:rsid w:val="00DA501C"/>
    <w:rsid w:val="00DA50EB"/>
    <w:rsid w:val="00DA51CE"/>
    <w:rsid w:val="00DA57DF"/>
    <w:rsid w:val="00DA584D"/>
    <w:rsid w:val="00DA59A5"/>
    <w:rsid w:val="00DA6226"/>
    <w:rsid w:val="00DA6476"/>
    <w:rsid w:val="00DA650D"/>
    <w:rsid w:val="00DA66A4"/>
    <w:rsid w:val="00DA6D2D"/>
    <w:rsid w:val="00DA6FF1"/>
    <w:rsid w:val="00DB0A97"/>
    <w:rsid w:val="00DB0BC6"/>
    <w:rsid w:val="00DB18FF"/>
    <w:rsid w:val="00DB1B48"/>
    <w:rsid w:val="00DB20CE"/>
    <w:rsid w:val="00DB3591"/>
    <w:rsid w:val="00DB35C3"/>
    <w:rsid w:val="00DB3672"/>
    <w:rsid w:val="00DB3C32"/>
    <w:rsid w:val="00DB3F6E"/>
    <w:rsid w:val="00DB428D"/>
    <w:rsid w:val="00DB4401"/>
    <w:rsid w:val="00DB476D"/>
    <w:rsid w:val="00DB50AA"/>
    <w:rsid w:val="00DB53A2"/>
    <w:rsid w:val="00DB56D2"/>
    <w:rsid w:val="00DB61DA"/>
    <w:rsid w:val="00DB68EB"/>
    <w:rsid w:val="00DB6B05"/>
    <w:rsid w:val="00DB765C"/>
    <w:rsid w:val="00DC0330"/>
    <w:rsid w:val="00DC0639"/>
    <w:rsid w:val="00DC0EAB"/>
    <w:rsid w:val="00DC1787"/>
    <w:rsid w:val="00DC18C9"/>
    <w:rsid w:val="00DC2169"/>
    <w:rsid w:val="00DC2571"/>
    <w:rsid w:val="00DC495C"/>
    <w:rsid w:val="00DC49BB"/>
    <w:rsid w:val="00DC4B33"/>
    <w:rsid w:val="00DC4CC7"/>
    <w:rsid w:val="00DC4F5C"/>
    <w:rsid w:val="00DC4FB6"/>
    <w:rsid w:val="00DC5159"/>
    <w:rsid w:val="00DC55BB"/>
    <w:rsid w:val="00DC582C"/>
    <w:rsid w:val="00DC6CC5"/>
    <w:rsid w:val="00DC72AD"/>
    <w:rsid w:val="00DC74F8"/>
    <w:rsid w:val="00DC757F"/>
    <w:rsid w:val="00DC7B67"/>
    <w:rsid w:val="00DD0242"/>
    <w:rsid w:val="00DD0335"/>
    <w:rsid w:val="00DD0732"/>
    <w:rsid w:val="00DD0D1C"/>
    <w:rsid w:val="00DD15B6"/>
    <w:rsid w:val="00DD161B"/>
    <w:rsid w:val="00DD1D20"/>
    <w:rsid w:val="00DD1E3B"/>
    <w:rsid w:val="00DD27E3"/>
    <w:rsid w:val="00DD3218"/>
    <w:rsid w:val="00DD33A9"/>
    <w:rsid w:val="00DD3743"/>
    <w:rsid w:val="00DD383F"/>
    <w:rsid w:val="00DD42F4"/>
    <w:rsid w:val="00DD4706"/>
    <w:rsid w:val="00DD5526"/>
    <w:rsid w:val="00DD56B2"/>
    <w:rsid w:val="00DD602F"/>
    <w:rsid w:val="00DD6102"/>
    <w:rsid w:val="00DD6465"/>
    <w:rsid w:val="00DD6ABB"/>
    <w:rsid w:val="00DD6C35"/>
    <w:rsid w:val="00DD6F7E"/>
    <w:rsid w:val="00DD7B11"/>
    <w:rsid w:val="00DE01E0"/>
    <w:rsid w:val="00DE0B90"/>
    <w:rsid w:val="00DE1945"/>
    <w:rsid w:val="00DE1D44"/>
    <w:rsid w:val="00DE1F28"/>
    <w:rsid w:val="00DE2A7F"/>
    <w:rsid w:val="00DE3788"/>
    <w:rsid w:val="00DE3942"/>
    <w:rsid w:val="00DE3951"/>
    <w:rsid w:val="00DE3976"/>
    <w:rsid w:val="00DE3B26"/>
    <w:rsid w:val="00DE5470"/>
    <w:rsid w:val="00DE632E"/>
    <w:rsid w:val="00DE693A"/>
    <w:rsid w:val="00DE6F40"/>
    <w:rsid w:val="00DE73E4"/>
    <w:rsid w:val="00DF086E"/>
    <w:rsid w:val="00DF10A3"/>
    <w:rsid w:val="00DF1A12"/>
    <w:rsid w:val="00DF1E7B"/>
    <w:rsid w:val="00DF1FCD"/>
    <w:rsid w:val="00DF21B6"/>
    <w:rsid w:val="00DF27FD"/>
    <w:rsid w:val="00DF29C5"/>
    <w:rsid w:val="00DF2FDF"/>
    <w:rsid w:val="00DF327A"/>
    <w:rsid w:val="00DF3358"/>
    <w:rsid w:val="00DF361D"/>
    <w:rsid w:val="00DF3867"/>
    <w:rsid w:val="00DF3E36"/>
    <w:rsid w:val="00DF3E75"/>
    <w:rsid w:val="00DF4F57"/>
    <w:rsid w:val="00DF5A1F"/>
    <w:rsid w:val="00DF5A2E"/>
    <w:rsid w:val="00DF5D0C"/>
    <w:rsid w:val="00DF6107"/>
    <w:rsid w:val="00DF691B"/>
    <w:rsid w:val="00DF6C53"/>
    <w:rsid w:val="00E0073A"/>
    <w:rsid w:val="00E0218A"/>
    <w:rsid w:val="00E025CB"/>
    <w:rsid w:val="00E02FBC"/>
    <w:rsid w:val="00E04098"/>
    <w:rsid w:val="00E0418A"/>
    <w:rsid w:val="00E0526D"/>
    <w:rsid w:val="00E05378"/>
    <w:rsid w:val="00E07128"/>
    <w:rsid w:val="00E071B4"/>
    <w:rsid w:val="00E0742E"/>
    <w:rsid w:val="00E077D4"/>
    <w:rsid w:val="00E078B2"/>
    <w:rsid w:val="00E0791D"/>
    <w:rsid w:val="00E0791F"/>
    <w:rsid w:val="00E103B3"/>
    <w:rsid w:val="00E11E22"/>
    <w:rsid w:val="00E11EB3"/>
    <w:rsid w:val="00E1228B"/>
    <w:rsid w:val="00E123C5"/>
    <w:rsid w:val="00E12723"/>
    <w:rsid w:val="00E12731"/>
    <w:rsid w:val="00E12EFA"/>
    <w:rsid w:val="00E1324E"/>
    <w:rsid w:val="00E13A96"/>
    <w:rsid w:val="00E13E80"/>
    <w:rsid w:val="00E151AF"/>
    <w:rsid w:val="00E15332"/>
    <w:rsid w:val="00E1560D"/>
    <w:rsid w:val="00E15B26"/>
    <w:rsid w:val="00E15D8A"/>
    <w:rsid w:val="00E15DFD"/>
    <w:rsid w:val="00E1679A"/>
    <w:rsid w:val="00E167FD"/>
    <w:rsid w:val="00E167FF"/>
    <w:rsid w:val="00E169E0"/>
    <w:rsid w:val="00E17085"/>
    <w:rsid w:val="00E20424"/>
    <w:rsid w:val="00E210FF"/>
    <w:rsid w:val="00E21216"/>
    <w:rsid w:val="00E21830"/>
    <w:rsid w:val="00E2197F"/>
    <w:rsid w:val="00E21DDC"/>
    <w:rsid w:val="00E225A7"/>
    <w:rsid w:val="00E2289D"/>
    <w:rsid w:val="00E22958"/>
    <w:rsid w:val="00E22C34"/>
    <w:rsid w:val="00E23162"/>
    <w:rsid w:val="00E2322C"/>
    <w:rsid w:val="00E23F78"/>
    <w:rsid w:val="00E240D4"/>
    <w:rsid w:val="00E24EC5"/>
    <w:rsid w:val="00E24F61"/>
    <w:rsid w:val="00E2564E"/>
    <w:rsid w:val="00E2589A"/>
    <w:rsid w:val="00E25913"/>
    <w:rsid w:val="00E2628B"/>
    <w:rsid w:val="00E26672"/>
    <w:rsid w:val="00E276EA"/>
    <w:rsid w:val="00E27778"/>
    <w:rsid w:val="00E27DC2"/>
    <w:rsid w:val="00E30563"/>
    <w:rsid w:val="00E30E23"/>
    <w:rsid w:val="00E31840"/>
    <w:rsid w:val="00E31EAE"/>
    <w:rsid w:val="00E31F41"/>
    <w:rsid w:val="00E32D0D"/>
    <w:rsid w:val="00E32EA7"/>
    <w:rsid w:val="00E33938"/>
    <w:rsid w:val="00E33E24"/>
    <w:rsid w:val="00E33FEE"/>
    <w:rsid w:val="00E34198"/>
    <w:rsid w:val="00E341B6"/>
    <w:rsid w:val="00E35AC6"/>
    <w:rsid w:val="00E36323"/>
    <w:rsid w:val="00E367CB"/>
    <w:rsid w:val="00E36EB4"/>
    <w:rsid w:val="00E37024"/>
    <w:rsid w:val="00E376EA"/>
    <w:rsid w:val="00E37DCE"/>
    <w:rsid w:val="00E400C5"/>
    <w:rsid w:val="00E40247"/>
    <w:rsid w:val="00E40A04"/>
    <w:rsid w:val="00E40B1C"/>
    <w:rsid w:val="00E410C8"/>
    <w:rsid w:val="00E411AA"/>
    <w:rsid w:val="00E4172B"/>
    <w:rsid w:val="00E4198F"/>
    <w:rsid w:val="00E423FF"/>
    <w:rsid w:val="00E4299B"/>
    <w:rsid w:val="00E42B38"/>
    <w:rsid w:val="00E4388B"/>
    <w:rsid w:val="00E43F8D"/>
    <w:rsid w:val="00E44220"/>
    <w:rsid w:val="00E44728"/>
    <w:rsid w:val="00E447E1"/>
    <w:rsid w:val="00E44AC8"/>
    <w:rsid w:val="00E44B21"/>
    <w:rsid w:val="00E45FEB"/>
    <w:rsid w:val="00E462AE"/>
    <w:rsid w:val="00E46686"/>
    <w:rsid w:val="00E46F61"/>
    <w:rsid w:val="00E4716C"/>
    <w:rsid w:val="00E47CA3"/>
    <w:rsid w:val="00E503ED"/>
    <w:rsid w:val="00E511AF"/>
    <w:rsid w:val="00E52AAE"/>
    <w:rsid w:val="00E53019"/>
    <w:rsid w:val="00E53332"/>
    <w:rsid w:val="00E542A0"/>
    <w:rsid w:val="00E5454C"/>
    <w:rsid w:val="00E54EC1"/>
    <w:rsid w:val="00E551B1"/>
    <w:rsid w:val="00E55528"/>
    <w:rsid w:val="00E559EB"/>
    <w:rsid w:val="00E562B1"/>
    <w:rsid w:val="00E56446"/>
    <w:rsid w:val="00E5726E"/>
    <w:rsid w:val="00E57B44"/>
    <w:rsid w:val="00E602AA"/>
    <w:rsid w:val="00E60F1D"/>
    <w:rsid w:val="00E615AF"/>
    <w:rsid w:val="00E61D45"/>
    <w:rsid w:val="00E62838"/>
    <w:rsid w:val="00E62F53"/>
    <w:rsid w:val="00E63AEA"/>
    <w:rsid w:val="00E63F46"/>
    <w:rsid w:val="00E645F6"/>
    <w:rsid w:val="00E64887"/>
    <w:rsid w:val="00E64D1D"/>
    <w:rsid w:val="00E65745"/>
    <w:rsid w:val="00E65DCE"/>
    <w:rsid w:val="00E66B7A"/>
    <w:rsid w:val="00E679F7"/>
    <w:rsid w:val="00E67EC5"/>
    <w:rsid w:val="00E67F52"/>
    <w:rsid w:val="00E7061B"/>
    <w:rsid w:val="00E71149"/>
    <w:rsid w:val="00E71905"/>
    <w:rsid w:val="00E71A54"/>
    <w:rsid w:val="00E72A77"/>
    <w:rsid w:val="00E73EC6"/>
    <w:rsid w:val="00E742F3"/>
    <w:rsid w:val="00E748C4"/>
    <w:rsid w:val="00E75592"/>
    <w:rsid w:val="00E75C0A"/>
    <w:rsid w:val="00E7645A"/>
    <w:rsid w:val="00E76847"/>
    <w:rsid w:val="00E76D02"/>
    <w:rsid w:val="00E76FAA"/>
    <w:rsid w:val="00E77433"/>
    <w:rsid w:val="00E7756F"/>
    <w:rsid w:val="00E80167"/>
    <w:rsid w:val="00E8144A"/>
    <w:rsid w:val="00E81CBE"/>
    <w:rsid w:val="00E822C8"/>
    <w:rsid w:val="00E825A3"/>
    <w:rsid w:val="00E82E28"/>
    <w:rsid w:val="00E82E55"/>
    <w:rsid w:val="00E8324E"/>
    <w:rsid w:val="00E8508A"/>
    <w:rsid w:val="00E85448"/>
    <w:rsid w:val="00E858AA"/>
    <w:rsid w:val="00E8620F"/>
    <w:rsid w:val="00E866E4"/>
    <w:rsid w:val="00E868EF"/>
    <w:rsid w:val="00E8692E"/>
    <w:rsid w:val="00E86FE3"/>
    <w:rsid w:val="00E875DB"/>
    <w:rsid w:val="00E875E6"/>
    <w:rsid w:val="00E905E4"/>
    <w:rsid w:val="00E90F29"/>
    <w:rsid w:val="00E9131F"/>
    <w:rsid w:val="00E91566"/>
    <w:rsid w:val="00E91D10"/>
    <w:rsid w:val="00E925B3"/>
    <w:rsid w:val="00E925E7"/>
    <w:rsid w:val="00E9286D"/>
    <w:rsid w:val="00E92AE4"/>
    <w:rsid w:val="00E934D9"/>
    <w:rsid w:val="00E93FB9"/>
    <w:rsid w:val="00E9400E"/>
    <w:rsid w:val="00E9429A"/>
    <w:rsid w:val="00E959F1"/>
    <w:rsid w:val="00E95DA7"/>
    <w:rsid w:val="00E963DD"/>
    <w:rsid w:val="00E965FA"/>
    <w:rsid w:val="00E96713"/>
    <w:rsid w:val="00E96DAC"/>
    <w:rsid w:val="00E96EE6"/>
    <w:rsid w:val="00E96FCE"/>
    <w:rsid w:val="00E97CF1"/>
    <w:rsid w:val="00E97D0D"/>
    <w:rsid w:val="00E97F36"/>
    <w:rsid w:val="00EA01A1"/>
    <w:rsid w:val="00EA10A9"/>
    <w:rsid w:val="00EA15AD"/>
    <w:rsid w:val="00EA161A"/>
    <w:rsid w:val="00EA1ABC"/>
    <w:rsid w:val="00EA236D"/>
    <w:rsid w:val="00EA282C"/>
    <w:rsid w:val="00EA2A07"/>
    <w:rsid w:val="00EA3E0E"/>
    <w:rsid w:val="00EA3E45"/>
    <w:rsid w:val="00EA4084"/>
    <w:rsid w:val="00EA53CD"/>
    <w:rsid w:val="00EA5F5E"/>
    <w:rsid w:val="00EB002C"/>
    <w:rsid w:val="00EB0F5F"/>
    <w:rsid w:val="00EB1143"/>
    <w:rsid w:val="00EB151E"/>
    <w:rsid w:val="00EB1726"/>
    <w:rsid w:val="00EB1B49"/>
    <w:rsid w:val="00EB2661"/>
    <w:rsid w:val="00EB2B56"/>
    <w:rsid w:val="00EB3019"/>
    <w:rsid w:val="00EB306E"/>
    <w:rsid w:val="00EB324D"/>
    <w:rsid w:val="00EB33AD"/>
    <w:rsid w:val="00EB34F9"/>
    <w:rsid w:val="00EB41E8"/>
    <w:rsid w:val="00EB435B"/>
    <w:rsid w:val="00EB48C8"/>
    <w:rsid w:val="00EB5AE5"/>
    <w:rsid w:val="00EB6573"/>
    <w:rsid w:val="00EB753F"/>
    <w:rsid w:val="00EC062B"/>
    <w:rsid w:val="00EC0B0E"/>
    <w:rsid w:val="00EC0C5F"/>
    <w:rsid w:val="00EC16D3"/>
    <w:rsid w:val="00EC1A9A"/>
    <w:rsid w:val="00EC1B18"/>
    <w:rsid w:val="00EC23F4"/>
    <w:rsid w:val="00EC2676"/>
    <w:rsid w:val="00EC2A5B"/>
    <w:rsid w:val="00EC43E6"/>
    <w:rsid w:val="00EC4A4A"/>
    <w:rsid w:val="00EC4A6A"/>
    <w:rsid w:val="00EC54A8"/>
    <w:rsid w:val="00EC58A9"/>
    <w:rsid w:val="00EC5A0D"/>
    <w:rsid w:val="00EC6226"/>
    <w:rsid w:val="00EC6467"/>
    <w:rsid w:val="00EC69E6"/>
    <w:rsid w:val="00EC72C2"/>
    <w:rsid w:val="00EC7B33"/>
    <w:rsid w:val="00EC7DC0"/>
    <w:rsid w:val="00ED0555"/>
    <w:rsid w:val="00ED1A2E"/>
    <w:rsid w:val="00ED1D03"/>
    <w:rsid w:val="00ED3104"/>
    <w:rsid w:val="00ED37A0"/>
    <w:rsid w:val="00ED38B0"/>
    <w:rsid w:val="00ED57DF"/>
    <w:rsid w:val="00ED6BC3"/>
    <w:rsid w:val="00ED6C46"/>
    <w:rsid w:val="00ED709D"/>
    <w:rsid w:val="00EE1C7A"/>
    <w:rsid w:val="00EE2638"/>
    <w:rsid w:val="00EE2C33"/>
    <w:rsid w:val="00EE2E1A"/>
    <w:rsid w:val="00EE3442"/>
    <w:rsid w:val="00EE3E2C"/>
    <w:rsid w:val="00EE3F1B"/>
    <w:rsid w:val="00EE4323"/>
    <w:rsid w:val="00EE4A6E"/>
    <w:rsid w:val="00EE4BF8"/>
    <w:rsid w:val="00EE4D0C"/>
    <w:rsid w:val="00EE5DE5"/>
    <w:rsid w:val="00EE6042"/>
    <w:rsid w:val="00EE60E7"/>
    <w:rsid w:val="00EE667C"/>
    <w:rsid w:val="00EE6C34"/>
    <w:rsid w:val="00EE7D1F"/>
    <w:rsid w:val="00EE7EFE"/>
    <w:rsid w:val="00EF0104"/>
    <w:rsid w:val="00EF02A4"/>
    <w:rsid w:val="00EF0FC6"/>
    <w:rsid w:val="00EF10E7"/>
    <w:rsid w:val="00EF11BA"/>
    <w:rsid w:val="00EF24E5"/>
    <w:rsid w:val="00EF27B3"/>
    <w:rsid w:val="00EF3284"/>
    <w:rsid w:val="00EF33DD"/>
    <w:rsid w:val="00EF3B2D"/>
    <w:rsid w:val="00EF43DC"/>
    <w:rsid w:val="00EF478D"/>
    <w:rsid w:val="00EF47F9"/>
    <w:rsid w:val="00EF5B95"/>
    <w:rsid w:val="00EF5F5B"/>
    <w:rsid w:val="00EF6BB4"/>
    <w:rsid w:val="00EF7C74"/>
    <w:rsid w:val="00F002F3"/>
    <w:rsid w:val="00F00352"/>
    <w:rsid w:val="00F003B8"/>
    <w:rsid w:val="00F00958"/>
    <w:rsid w:val="00F01FB8"/>
    <w:rsid w:val="00F027BC"/>
    <w:rsid w:val="00F028D1"/>
    <w:rsid w:val="00F032DE"/>
    <w:rsid w:val="00F0355E"/>
    <w:rsid w:val="00F0356C"/>
    <w:rsid w:val="00F03D0B"/>
    <w:rsid w:val="00F04B2E"/>
    <w:rsid w:val="00F04E39"/>
    <w:rsid w:val="00F062A7"/>
    <w:rsid w:val="00F066D9"/>
    <w:rsid w:val="00F068FA"/>
    <w:rsid w:val="00F06A62"/>
    <w:rsid w:val="00F06DEE"/>
    <w:rsid w:val="00F07203"/>
    <w:rsid w:val="00F077FB"/>
    <w:rsid w:val="00F1032C"/>
    <w:rsid w:val="00F10E67"/>
    <w:rsid w:val="00F11697"/>
    <w:rsid w:val="00F11780"/>
    <w:rsid w:val="00F11A56"/>
    <w:rsid w:val="00F120A2"/>
    <w:rsid w:val="00F12BEC"/>
    <w:rsid w:val="00F13D1D"/>
    <w:rsid w:val="00F1420E"/>
    <w:rsid w:val="00F1496D"/>
    <w:rsid w:val="00F15472"/>
    <w:rsid w:val="00F155C0"/>
    <w:rsid w:val="00F16253"/>
    <w:rsid w:val="00F165D0"/>
    <w:rsid w:val="00F168E6"/>
    <w:rsid w:val="00F17C16"/>
    <w:rsid w:val="00F17DBB"/>
    <w:rsid w:val="00F17EF9"/>
    <w:rsid w:val="00F203C4"/>
    <w:rsid w:val="00F207AF"/>
    <w:rsid w:val="00F20AD0"/>
    <w:rsid w:val="00F21480"/>
    <w:rsid w:val="00F21C00"/>
    <w:rsid w:val="00F226EB"/>
    <w:rsid w:val="00F23793"/>
    <w:rsid w:val="00F24B7E"/>
    <w:rsid w:val="00F24D9B"/>
    <w:rsid w:val="00F2527A"/>
    <w:rsid w:val="00F25599"/>
    <w:rsid w:val="00F25BAB"/>
    <w:rsid w:val="00F25BF6"/>
    <w:rsid w:val="00F26151"/>
    <w:rsid w:val="00F2634D"/>
    <w:rsid w:val="00F27388"/>
    <w:rsid w:val="00F27513"/>
    <w:rsid w:val="00F27A13"/>
    <w:rsid w:val="00F3006F"/>
    <w:rsid w:val="00F30ECC"/>
    <w:rsid w:val="00F31273"/>
    <w:rsid w:val="00F312B4"/>
    <w:rsid w:val="00F322E2"/>
    <w:rsid w:val="00F324CF"/>
    <w:rsid w:val="00F32948"/>
    <w:rsid w:val="00F33F98"/>
    <w:rsid w:val="00F33FA7"/>
    <w:rsid w:val="00F33FE6"/>
    <w:rsid w:val="00F341DA"/>
    <w:rsid w:val="00F3481E"/>
    <w:rsid w:val="00F34EA1"/>
    <w:rsid w:val="00F3599C"/>
    <w:rsid w:val="00F35BB4"/>
    <w:rsid w:val="00F35C51"/>
    <w:rsid w:val="00F36270"/>
    <w:rsid w:val="00F371E6"/>
    <w:rsid w:val="00F40BB0"/>
    <w:rsid w:val="00F40E13"/>
    <w:rsid w:val="00F415FC"/>
    <w:rsid w:val="00F427BC"/>
    <w:rsid w:val="00F43AFB"/>
    <w:rsid w:val="00F43D67"/>
    <w:rsid w:val="00F441E8"/>
    <w:rsid w:val="00F44547"/>
    <w:rsid w:val="00F44D37"/>
    <w:rsid w:val="00F45331"/>
    <w:rsid w:val="00F45942"/>
    <w:rsid w:val="00F45B23"/>
    <w:rsid w:val="00F45FBD"/>
    <w:rsid w:val="00F47014"/>
    <w:rsid w:val="00F47254"/>
    <w:rsid w:val="00F47772"/>
    <w:rsid w:val="00F477FB"/>
    <w:rsid w:val="00F478C5"/>
    <w:rsid w:val="00F479D8"/>
    <w:rsid w:val="00F508C8"/>
    <w:rsid w:val="00F50C77"/>
    <w:rsid w:val="00F51387"/>
    <w:rsid w:val="00F5171C"/>
    <w:rsid w:val="00F51F50"/>
    <w:rsid w:val="00F52251"/>
    <w:rsid w:val="00F52594"/>
    <w:rsid w:val="00F527E2"/>
    <w:rsid w:val="00F52BCA"/>
    <w:rsid w:val="00F52BF3"/>
    <w:rsid w:val="00F544B8"/>
    <w:rsid w:val="00F55043"/>
    <w:rsid w:val="00F55CB4"/>
    <w:rsid w:val="00F56AE7"/>
    <w:rsid w:val="00F56B4D"/>
    <w:rsid w:val="00F571BA"/>
    <w:rsid w:val="00F57A88"/>
    <w:rsid w:val="00F57B0D"/>
    <w:rsid w:val="00F602BC"/>
    <w:rsid w:val="00F60AC9"/>
    <w:rsid w:val="00F60FAE"/>
    <w:rsid w:val="00F61223"/>
    <w:rsid w:val="00F61364"/>
    <w:rsid w:val="00F61D51"/>
    <w:rsid w:val="00F62246"/>
    <w:rsid w:val="00F62BBB"/>
    <w:rsid w:val="00F63047"/>
    <w:rsid w:val="00F64263"/>
    <w:rsid w:val="00F64D71"/>
    <w:rsid w:val="00F64E42"/>
    <w:rsid w:val="00F658FA"/>
    <w:rsid w:val="00F665C4"/>
    <w:rsid w:val="00F66A42"/>
    <w:rsid w:val="00F66B5A"/>
    <w:rsid w:val="00F679D2"/>
    <w:rsid w:val="00F67C24"/>
    <w:rsid w:val="00F70016"/>
    <w:rsid w:val="00F708D4"/>
    <w:rsid w:val="00F70B77"/>
    <w:rsid w:val="00F70F6F"/>
    <w:rsid w:val="00F711BD"/>
    <w:rsid w:val="00F71374"/>
    <w:rsid w:val="00F7173C"/>
    <w:rsid w:val="00F7221E"/>
    <w:rsid w:val="00F72F25"/>
    <w:rsid w:val="00F731AE"/>
    <w:rsid w:val="00F73485"/>
    <w:rsid w:val="00F73C33"/>
    <w:rsid w:val="00F74615"/>
    <w:rsid w:val="00F74701"/>
    <w:rsid w:val="00F747AD"/>
    <w:rsid w:val="00F75089"/>
    <w:rsid w:val="00F764EE"/>
    <w:rsid w:val="00F766EA"/>
    <w:rsid w:val="00F76879"/>
    <w:rsid w:val="00F770D3"/>
    <w:rsid w:val="00F80629"/>
    <w:rsid w:val="00F80DA4"/>
    <w:rsid w:val="00F815C6"/>
    <w:rsid w:val="00F818D8"/>
    <w:rsid w:val="00F81E5B"/>
    <w:rsid w:val="00F82317"/>
    <w:rsid w:val="00F82F46"/>
    <w:rsid w:val="00F8414B"/>
    <w:rsid w:val="00F85684"/>
    <w:rsid w:val="00F85D8E"/>
    <w:rsid w:val="00F86EBC"/>
    <w:rsid w:val="00F871DB"/>
    <w:rsid w:val="00F904B6"/>
    <w:rsid w:val="00F90758"/>
    <w:rsid w:val="00F907B1"/>
    <w:rsid w:val="00F90940"/>
    <w:rsid w:val="00F9096E"/>
    <w:rsid w:val="00F90C07"/>
    <w:rsid w:val="00F91412"/>
    <w:rsid w:val="00F917E5"/>
    <w:rsid w:val="00F918E4"/>
    <w:rsid w:val="00F91AFB"/>
    <w:rsid w:val="00F91C34"/>
    <w:rsid w:val="00F91C3D"/>
    <w:rsid w:val="00F92312"/>
    <w:rsid w:val="00F926E9"/>
    <w:rsid w:val="00F929DB"/>
    <w:rsid w:val="00F92FA1"/>
    <w:rsid w:val="00F93275"/>
    <w:rsid w:val="00F936F6"/>
    <w:rsid w:val="00F93F62"/>
    <w:rsid w:val="00F94B27"/>
    <w:rsid w:val="00F950EA"/>
    <w:rsid w:val="00F953F3"/>
    <w:rsid w:val="00F95635"/>
    <w:rsid w:val="00F95A4B"/>
    <w:rsid w:val="00F95D8D"/>
    <w:rsid w:val="00F96A53"/>
    <w:rsid w:val="00F96B7D"/>
    <w:rsid w:val="00F9743F"/>
    <w:rsid w:val="00FA08BB"/>
    <w:rsid w:val="00FA14E7"/>
    <w:rsid w:val="00FA156E"/>
    <w:rsid w:val="00FA22BF"/>
    <w:rsid w:val="00FA3043"/>
    <w:rsid w:val="00FA47CC"/>
    <w:rsid w:val="00FA4860"/>
    <w:rsid w:val="00FA5343"/>
    <w:rsid w:val="00FA5A59"/>
    <w:rsid w:val="00FA5B2D"/>
    <w:rsid w:val="00FA5E8F"/>
    <w:rsid w:val="00FA6227"/>
    <w:rsid w:val="00FA6625"/>
    <w:rsid w:val="00FA706E"/>
    <w:rsid w:val="00FA74C7"/>
    <w:rsid w:val="00FB004B"/>
    <w:rsid w:val="00FB0398"/>
    <w:rsid w:val="00FB0626"/>
    <w:rsid w:val="00FB11D7"/>
    <w:rsid w:val="00FB1784"/>
    <w:rsid w:val="00FB1FBC"/>
    <w:rsid w:val="00FB233C"/>
    <w:rsid w:val="00FB23E4"/>
    <w:rsid w:val="00FB2D59"/>
    <w:rsid w:val="00FB2E6F"/>
    <w:rsid w:val="00FB3248"/>
    <w:rsid w:val="00FB451B"/>
    <w:rsid w:val="00FB49BB"/>
    <w:rsid w:val="00FB52BA"/>
    <w:rsid w:val="00FB5693"/>
    <w:rsid w:val="00FB57EA"/>
    <w:rsid w:val="00FB59D4"/>
    <w:rsid w:val="00FB5E6E"/>
    <w:rsid w:val="00FB6919"/>
    <w:rsid w:val="00FB6E9C"/>
    <w:rsid w:val="00FB7116"/>
    <w:rsid w:val="00FC0166"/>
    <w:rsid w:val="00FC09B7"/>
    <w:rsid w:val="00FC1961"/>
    <w:rsid w:val="00FC1B6F"/>
    <w:rsid w:val="00FC1E7B"/>
    <w:rsid w:val="00FC2DB0"/>
    <w:rsid w:val="00FC3460"/>
    <w:rsid w:val="00FC3D37"/>
    <w:rsid w:val="00FC4DFA"/>
    <w:rsid w:val="00FC6C74"/>
    <w:rsid w:val="00FC7035"/>
    <w:rsid w:val="00FC7E35"/>
    <w:rsid w:val="00FD0D16"/>
    <w:rsid w:val="00FD114E"/>
    <w:rsid w:val="00FD1891"/>
    <w:rsid w:val="00FD1F19"/>
    <w:rsid w:val="00FD2981"/>
    <w:rsid w:val="00FD2C67"/>
    <w:rsid w:val="00FD4595"/>
    <w:rsid w:val="00FD577F"/>
    <w:rsid w:val="00FD60DF"/>
    <w:rsid w:val="00FD61AD"/>
    <w:rsid w:val="00FD651F"/>
    <w:rsid w:val="00FD6BB5"/>
    <w:rsid w:val="00FD7729"/>
    <w:rsid w:val="00FE108C"/>
    <w:rsid w:val="00FE1684"/>
    <w:rsid w:val="00FE1D08"/>
    <w:rsid w:val="00FE2A3D"/>
    <w:rsid w:val="00FE474C"/>
    <w:rsid w:val="00FE48A3"/>
    <w:rsid w:val="00FE57DF"/>
    <w:rsid w:val="00FE5C63"/>
    <w:rsid w:val="00FE61D0"/>
    <w:rsid w:val="00FE6413"/>
    <w:rsid w:val="00FE64FF"/>
    <w:rsid w:val="00FE6502"/>
    <w:rsid w:val="00FE6A0D"/>
    <w:rsid w:val="00FE7282"/>
    <w:rsid w:val="00FE7290"/>
    <w:rsid w:val="00FE7546"/>
    <w:rsid w:val="00FE76B2"/>
    <w:rsid w:val="00FE79CB"/>
    <w:rsid w:val="00FF0C44"/>
    <w:rsid w:val="00FF0D6E"/>
    <w:rsid w:val="00FF2E73"/>
    <w:rsid w:val="00FF2EEE"/>
    <w:rsid w:val="00FF3602"/>
    <w:rsid w:val="00FF3B33"/>
    <w:rsid w:val="00FF403A"/>
    <w:rsid w:val="00FF41D6"/>
    <w:rsid w:val="00FF4346"/>
    <w:rsid w:val="00FF467D"/>
    <w:rsid w:val="00FF46C6"/>
    <w:rsid w:val="00FF4952"/>
    <w:rsid w:val="00FF499D"/>
    <w:rsid w:val="00FF4EA0"/>
    <w:rsid w:val="00FF52CA"/>
    <w:rsid w:val="00FF52F8"/>
    <w:rsid w:val="00FF53D7"/>
    <w:rsid w:val="00FF595F"/>
    <w:rsid w:val="00FF5ABE"/>
    <w:rsid w:val="00FF66B6"/>
    <w:rsid w:val="00FF7194"/>
    <w:rsid w:val="00FF7D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4057"/>
    <w:rPr>
      <w:rFonts w:ascii="Tw Cen MT" w:hAnsi="Tw Cen MT"/>
      <w:sz w:val="24"/>
      <w:szCs w:val="24"/>
    </w:rPr>
  </w:style>
  <w:style w:type="paragraph" w:styleId="Ttulo1">
    <w:name w:val="heading 1"/>
    <w:basedOn w:val="Normal"/>
    <w:next w:val="Normal"/>
    <w:qFormat/>
    <w:rsid w:val="00484057"/>
    <w:pPr>
      <w:keepNext/>
      <w:outlineLvl w:val="0"/>
    </w:pPr>
    <w:rPr>
      <w:rFonts w:ascii="CG Times" w:hAnsi="CG Times"/>
      <w:b/>
      <w:szCs w:val="20"/>
      <w:lang w:val="es-MX"/>
    </w:rPr>
  </w:style>
  <w:style w:type="paragraph" w:styleId="Ttulo2">
    <w:name w:val="heading 2"/>
    <w:basedOn w:val="Normal"/>
    <w:next w:val="Normal"/>
    <w:qFormat/>
    <w:rsid w:val="00484057"/>
    <w:pPr>
      <w:keepNext/>
      <w:jc w:val="both"/>
      <w:outlineLvl w:val="1"/>
    </w:pPr>
    <w:rPr>
      <w:rFonts w:ascii="CG Times" w:hAnsi="CG Times"/>
      <w:b/>
      <w:szCs w:val="20"/>
      <w:lang w:val="es-MX"/>
    </w:rPr>
  </w:style>
  <w:style w:type="paragraph" w:styleId="Ttulo3">
    <w:name w:val="heading 3"/>
    <w:basedOn w:val="Normal"/>
    <w:next w:val="Normal"/>
    <w:qFormat/>
    <w:rsid w:val="00484057"/>
    <w:pPr>
      <w:keepNext/>
      <w:jc w:val="center"/>
      <w:outlineLvl w:val="2"/>
    </w:pPr>
    <w:rPr>
      <w:rFonts w:ascii="CG Times" w:hAnsi="CG Times"/>
      <w:szCs w:val="20"/>
      <w:lang w:val="es-MX"/>
    </w:rPr>
  </w:style>
  <w:style w:type="paragraph" w:styleId="Ttulo4">
    <w:name w:val="heading 4"/>
    <w:basedOn w:val="Normal"/>
    <w:next w:val="Normal"/>
    <w:qFormat/>
    <w:rsid w:val="00484057"/>
    <w:pPr>
      <w:keepNext/>
      <w:tabs>
        <w:tab w:val="left" w:pos="4536"/>
      </w:tabs>
      <w:spacing w:line="200" w:lineRule="exact"/>
      <w:ind w:left="-165"/>
      <w:outlineLvl w:val="3"/>
    </w:pPr>
    <w:rPr>
      <w:rFonts w:ascii="Abadi MT Condensed Light" w:hAnsi="Abadi MT Condensed Light" w:cs="Arial"/>
      <w:b/>
      <w:bCs/>
      <w:szCs w:val="22"/>
    </w:rPr>
  </w:style>
  <w:style w:type="paragraph" w:styleId="Ttulo5">
    <w:name w:val="heading 5"/>
    <w:basedOn w:val="Normal"/>
    <w:next w:val="Normal"/>
    <w:qFormat/>
    <w:rsid w:val="00484057"/>
    <w:pPr>
      <w:keepNext/>
      <w:tabs>
        <w:tab w:val="left" w:pos="4536"/>
      </w:tabs>
      <w:spacing w:line="200" w:lineRule="exact"/>
      <w:ind w:left="-165" w:firstLineChars="8" w:firstLine="15"/>
      <w:outlineLvl w:val="4"/>
    </w:pPr>
    <w:rPr>
      <w:rFonts w:ascii="Abadi MT Condensed Light" w:hAnsi="Abadi MT Condensed Light" w:cs="Arial"/>
      <w:b/>
      <w:bCs/>
      <w:szCs w:val="22"/>
    </w:rPr>
  </w:style>
  <w:style w:type="paragraph" w:styleId="Ttulo6">
    <w:name w:val="heading 6"/>
    <w:basedOn w:val="Normal"/>
    <w:next w:val="Normal"/>
    <w:qFormat/>
    <w:rsid w:val="00484057"/>
    <w:pPr>
      <w:keepNext/>
      <w:tabs>
        <w:tab w:val="left" w:pos="4536"/>
      </w:tabs>
      <w:spacing w:line="200" w:lineRule="exact"/>
      <w:jc w:val="center"/>
      <w:outlineLvl w:val="5"/>
    </w:pPr>
    <w:rPr>
      <w:rFonts w:ascii="Abadi MT Condensed Light" w:hAnsi="Abadi MT Condensed Light" w:cs="Arial"/>
      <w:b/>
      <w:bCs/>
      <w:szCs w:val="22"/>
    </w:rPr>
  </w:style>
  <w:style w:type="paragraph" w:styleId="Ttulo7">
    <w:name w:val="heading 7"/>
    <w:basedOn w:val="Normal"/>
    <w:next w:val="Normal"/>
    <w:qFormat/>
    <w:rsid w:val="00484057"/>
    <w:pPr>
      <w:keepNext/>
      <w:jc w:val="center"/>
      <w:outlineLvl w:val="6"/>
    </w:pPr>
    <w:rPr>
      <w:rFonts w:ascii="Abadi MT Condensed Light" w:hAnsi="Abadi MT Condensed Light"/>
      <w:sz w:val="28"/>
    </w:rPr>
  </w:style>
  <w:style w:type="paragraph" w:styleId="Ttulo8">
    <w:name w:val="heading 8"/>
    <w:basedOn w:val="Normal"/>
    <w:next w:val="Normal"/>
    <w:qFormat/>
    <w:rsid w:val="00484057"/>
    <w:pPr>
      <w:keepNext/>
      <w:outlineLvl w:val="7"/>
    </w:pPr>
    <w:rPr>
      <w:rFonts w:ascii="Abadi MT Condensed Light" w:hAnsi="Abadi MT Condensed Light"/>
      <w:b/>
      <w:bCs/>
      <w:sz w:val="26"/>
      <w:lang w:val="es-MX"/>
    </w:rPr>
  </w:style>
  <w:style w:type="paragraph" w:styleId="Ttulo9">
    <w:name w:val="heading 9"/>
    <w:basedOn w:val="Normal"/>
    <w:next w:val="Normal"/>
    <w:qFormat/>
    <w:rsid w:val="00484057"/>
    <w:pPr>
      <w:keepNext/>
      <w:spacing w:line="360" w:lineRule="auto"/>
      <w:outlineLvl w:val="8"/>
    </w:pPr>
    <w:rPr>
      <w:rFonts w:ascii="Abadi MT Condensed Light" w:hAnsi="Abadi MT Condensed Light"/>
      <w:b/>
      <w:bCs/>
      <w:i/>
      <w:iCs/>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84057"/>
    <w:pPr>
      <w:tabs>
        <w:tab w:val="right" w:pos="709"/>
        <w:tab w:val="right" w:pos="6237"/>
        <w:tab w:val="right" w:pos="8222"/>
      </w:tabs>
      <w:jc w:val="both"/>
    </w:pPr>
    <w:rPr>
      <w:rFonts w:ascii="CG Times" w:hAnsi="CG Times"/>
      <w:b/>
      <w:sz w:val="28"/>
      <w:szCs w:val="20"/>
      <w:lang w:val="es-MX"/>
    </w:rPr>
  </w:style>
  <w:style w:type="paragraph" w:styleId="Sangradetextonormal">
    <w:name w:val="Body Text Indent"/>
    <w:basedOn w:val="Normal"/>
    <w:link w:val="SangradetextonormalCar"/>
    <w:rsid w:val="00484057"/>
    <w:pPr>
      <w:spacing w:line="360" w:lineRule="auto"/>
      <w:ind w:firstLine="709"/>
      <w:jc w:val="both"/>
    </w:pPr>
    <w:rPr>
      <w:rFonts w:ascii="Univers" w:hAnsi="Univers"/>
      <w:sz w:val="28"/>
      <w:szCs w:val="20"/>
    </w:rPr>
  </w:style>
  <w:style w:type="paragraph" w:styleId="Textoindependiente2">
    <w:name w:val="Body Text 2"/>
    <w:basedOn w:val="Normal"/>
    <w:rsid w:val="00484057"/>
    <w:pPr>
      <w:jc w:val="both"/>
    </w:pPr>
    <w:rPr>
      <w:rFonts w:ascii="CG Times" w:hAnsi="CG Times"/>
      <w:sz w:val="28"/>
      <w:szCs w:val="20"/>
      <w:lang w:val="es-MX"/>
    </w:rPr>
  </w:style>
  <w:style w:type="paragraph" w:styleId="Sangra3detindependiente">
    <w:name w:val="Body Text Indent 3"/>
    <w:basedOn w:val="Normal"/>
    <w:rsid w:val="00484057"/>
    <w:pPr>
      <w:spacing w:line="360" w:lineRule="auto"/>
      <w:ind w:firstLine="567"/>
      <w:jc w:val="both"/>
    </w:pPr>
    <w:rPr>
      <w:rFonts w:ascii="Abadi MT Condensed Light" w:hAnsi="Abadi MT Condensed Light"/>
      <w:sz w:val="32"/>
      <w:szCs w:val="20"/>
    </w:rPr>
  </w:style>
  <w:style w:type="paragraph" w:styleId="Sangra2detindependiente">
    <w:name w:val="Body Text Indent 2"/>
    <w:basedOn w:val="Normal"/>
    <w:rsid w:val="00484057"/>
    <w:pPr>
      <w:tabs>
        <w:tab w:val="left" w:pos="3119"/>
      </w:tabs>
      <w:spacing w:line="360" w:lineRule="auto"/>
      <w:ind w:firstLine="708"/>
      <w:jc w:val="both"/>
    </w:pPr>
    <w:rPr>
      <w:rFonts w:ascii="Univers" w:hAnsi="Univers"/>
      <w:sz w:val="28"/>
      <w:szCs w:val="20"/>
    </w:rPr>
  </w:style>
  <w:style w:type="character" w:styleId="Nmerodepgina">
    <w:name w:val="page number"/>
    <w:basedOn w:val="Fuentedeprrafopredeter"/>
    <w:rsid w:val="00484057"/>
  </w:style>
  <w:style w:type="paragraph" w:styleId="Encabezado">
    <w:name w:val="header"/>
    <w:basedOn w:val="Normal"/>
    <w:rsid w:val="00484057"/>
    <w:pPr>
      <w:tabs>
        <w:tab w:val="center" w:pos="4419"/>
        <w:tab w:val="right" w:pos="8838"/>
      </w:tabs>
    </w:pPr>
    <w:rPr>
      <w:rFonts w:ascii="Times New Roman" w:hAnsi="Times New Roman"/>
      <w:sz w:val="20"/>
      <w:szCs w:val="20"/>
    </w:rPr>
  </w:style>
  <w:style w:type="paragraph" w:styleId="Piedepgina">
    <w:name w:val="footer"/>
    <w:basedOn w:val="Normal"/>
    <w:link w:val="PiedepginaCar"/>
    <w:uiPriority w:val="99"/>
    <w:rsid w:val="00484057"/>
    <w:pPr>
      <w:tabs>
        <w:tab w:val="center" w:pos="4419"/>
        <w:tab w:val="right" w:pos="8838"/>
      </w:tabs>
    </w:pPr>
    <w:rPr>
      <w:rFonts w:ascii="Times New Roman" w:hAnsi="Times New Roman"/>
      <w:sz w:val="20"/>
      <w:szCs w:val="20"/>
    </w:rPr>
  </w:style>
  <w:style w:type="paragraph" w:styleId="Textoindependiente3">
    <w:name w:val="Body Text 3"/>
    <w:basedOn w:val="Normal"/>
    <w:rsid w:val="00484057"/>
    <w:pPr>
      <w:tabs>
        <w:tab w:val="left" w:pos="567"/>
        <w:tab w:val="right" w:pos="7938"/>
        <w:tab w:val="left" w:pos="9356"/>
      </w:tabs>
      <w:spacing w:line="360" w:lineRule="auto"/>
      <w:ind w:right="474"/>
      <w:jc w:val="both"/>
    </w:pPr>
    <w:rPr>
      <w:rFonts w:ascii="Abadi MT Condensed Light" w:hAnsi="Abadi MT Condensed Light"/>
      <w:sz w:val="32"/>
    </w:rPr>
  </w:style>
  <w:style w:type="paragraph" w:styleId="Mapadeldocumento">
    <w:name w:val="Document Map"/>
    <w:basedOn w:val="Normal"/>
    <w:semiHidden/>
    <w:rsid w:val="00484057"/>
    <w:pPr>
      <w:shd w:val="clear" w:color="auto" w:fill="000080"/>
    </w:pPr>
    <w:rPr>
      <w:rFonts w:ascii="Tahoma" w:hAnsi="Tahoma" w:cs="Tahoma"/>
    </w:rPr>
  </w:style>
  <w:style w:type="paragraph" w:customStyle="1" w:styleId="xl26">
    <w:name w:val="xl26"/>
    <w:basedOn w:val="Normal"/>
    <w:rsid w:val="00484057"/>
    <w:pPr>
      <w:pBdr>
        <w:top w:val="single" w:sz="4" w:space="0" w:color="auto"/>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7">
    <w:name w:val="xl27"/>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8">
    <w:name w:val="xl28"/>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9">
    <w:name w:val="xl29"/>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0">
    <w:name w:val="xl30"/>
    <w:basedOn w:val="Normal"/>
    <w:rsid w:val="004840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Condensed" w:hAnsi="Gill Sans MT Condensed"/>
      <w:b/>
      <w:bCs/>
    </w:rPr>
  </w:style>
  <w:style w:type="paragraph" w:customStyle="1" w:styleId="xl31">
    <w:name w:val="xl31"/>
    <w:basedOn w:val="Normal"/>
    <w:rsid w:val="00484057"/>
    <w:pPr>
      <w:pBdr>
        <w:right w:val="single" w:sz="4" w:space="0" w:color="auto"/>
      </w:pBdr>
      <w:spacing w:before="100" w:beforeAutospacing="1" w:after="100" w:afterAutospacing="1"/>
    </w:pPr>
    <w:rPr>
      <w:rFonts w:ascii="Gill Sans MT Condensed" w:hAnsi="Gill Sans MT Condensed"/>
    </w:rPr>
  </w:style>
  <w:style w:type="paragraph" w:customStyle="1" w:styleId="xl32">
    <w:name w:val="xl32"/>
    <w:basedOn w:val="Normal"/>
    <w:rsid w:val="00484057"/>
    <w:pPr>
      <w:spacing w:before="100" w:beforeAutospacing="1" w:after="100" w:afterAutospacing="1"/>
    </w:pPr>
    <w:rPr>
      <w:rFonts w:ascii="Abadi MT Condensed Light" w:hAnsi="Abadi MT Condensed Light"/>
      <w:sz w:val="22"/>
      <w:szCs w:val="22"/>
    </w:rPr>
  </w:style>
  <w:style w:type="paragraph" w:customStyle="1" w:styleId="xl33">
    <w:name w:val="xl33"/>
    <w:basedOn w:val="Normal"/>
    <w:rsid w:val="00484057"/>
    <w:pPr>
      <w:pBdr>
        <w:left w:val="single" w:sz="4" w:space="0" w:color="auto"/>
      </w:pBdr>
      <w:spacing w:before="100" w:beforeAutospacing="1" w:after="100" w:afterAutospacing="1"/>
    </w:pPr>
    <w:rPr>
      <w:rFonts w:ascii="Gill Sans MT Condensed" w:hAnsi="Gill Sans MT Condensed"/>
    </w:rPr>
  </w:style>
  <w:style w:type="paragraph" w:customStyle="1" w:styleId="xl34">
    <w:name w:val="xl34"/>
    <w:basedOn w:val="Normal"/>
    <w:rsid w:val="00484057"/>
    <w:pPr>
      <w:pBdr>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5">
    <w:name w:val="xl35"/>
    <w:basedOn w:val="Normal"/>
    <w:rsid w:val="00484057"/>
    <w:pPr>
      <w:pBdr>
        <w:left w:val="single" w:sz="4" w:space="0" w:color="auto"/>
        <w:bottom w:val="single" w:sz="4" w:space="0" w:color="auto"/>
      </w:pBdr>
      <w:spacing w:before="100" w:beforeAutospacing="1" w:after="100" w:afterAutospacing="1"/>
    </w:pPr>
    <w:rPr>
      <w:rFonts w:ascii="Gill Sans MT Condensed" w:hAnsi="Gill Sans MT Condensed"/>
    </w:rPr>
  </w:style>
  <w:style w:type="paragraph" w:customStyle="1" w:styleId="xl36">
    <w:name w:val="xl36"/>
    <w:basedOn w:val="Normal"/>
    <w:rsid w:val="00484057"/>
    <w:pPr>
      <w:pBdr>
        <w:bottom w:val="single" w:sz="4" w:space="0" w:color="auto"/>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7">
    <w:name w:val="xl37"/>
    <w:basedOn w:val="Normal"/>
    <w:rsid w:val="00484057"/>
    <w:pPr>
      <w:pBdr>
        <w:left w:val="single" w:sz="4" w:space="0" w:color="auto"/>
        <w:bottom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8">
    <w:name w:val="xl38"/>
    <w:basedOn w:val="Normal"/>
    <w:rsid w:val="00484057"/>
    <w:pPr>
      <w:pBdr>
        <w:left w:val="single" w:sz="4" w:space="0" w:color="auto"/>
      </w:pBdr>
      <w:spacing w:before="100" w:beforeAutospacing="1" w:after="100" w:afterAutospacing="1"/>
    </w:pPr>
    <w:rPr>
      <w:rFonts w:ascii="Gill Sans MT Condensed" w:hAnsi="Gill Sans MT Condensed"/>
      <w:b/>
      <w:bCs/>
      <w:u w:val="single"/>
    </w:rPr>
  </w:style>
  <w:style w:type="paragraph" w:styleId="Textodebloque">
    <w:name w:val="Block Text"/>
    <w:basedOn w:val="Normal"/>
    <w:rsid w:val="00484057"/>
    <w:pPr>
      <w:tabs>
        <w:tab w:val="right" w:pos="709"/>
        <w:tab w:val="left" w:pos="6660"/>
        <w:tab w:val="right" w:pos="8222"/>
      </w:tabs>
      <w:spacing w:line="460" w:lineRule="exact"/>
      <w:ind w:left="1980" w:right="2052"/>
      <w:jc w:val="center"/>
    </w:pPr>
    <w:rPr>
      <w:rFonts w:ascii="Abadi MT Condensed Light" w:hAnsi="Abadi MT Condensed Light"/>
      <w:b/>
      <w:sz w:val="32"/>
      <w:lang w:val="es-MX"/>
    </w:rPr>
  </w:style>
  <w:style w:type="paragraph" w:styleId="Textodeglobo">
    <w:name w:val="Balloon Text"/>
    <w:basedOn w:val="Normal"/>
    <w:semiHidden/>
    <w:rsid w:val="00282F9D"/>
    <w:rPr>
      <w:rFonts w:ascii="Tahoma" w:hAnsi="Tahoma" w:cs="Tahoma"/>
      <w:sz w:val="16"/>
      <w:szCs w:val="16"/>
    </w:rPr>
  </w:style>
  <w:style w:type="paragraph" w:customStyle="1" w:styleId="Texto">
    <w:name w:val="Texto"/>
    <w:basedOn w:val="Normal"/>
    <w:link w:val="TextoCar"/>
    <w:rsid w:val="004F2801"/>
    <w:pPr>
      <w:spacing w:after="101" w:line="216" w:lineRule="exact"/>
      <w:ind w:firstLine="288"/>
      <w:jc w:val="both"/>
    </w:pPr>
    <w:rPr>
      <w:rFonts w:ascii="Arial" w:hAnsi="Arial"/>
      <w:sz w:val="18"/>
      <w:szCs w:val="18"/>
      <w:lang w:val="es-MX" w:eastAsia="es-MX"/>
    </w:rPr>
  </w:style>
  <w:style w:type="character" w:styleId="Hipervnculo">
    <w:name w:val="Hyperlink"/>
    <w:basedOn w:val="Fuentedeprrafopredeter"/>
    <w:rsid w:val="00C06D8B"/>
    <w:rPr>
      <w:color w:val="0000FF"/>
      <w:u w:val="single"/>
    </w:rPr>
  </w:style>
  <w:style w:type="paragraph" w:styleId="Prrafodelista">
    <w:name w:val="List Paragraph"/>
    <w:basedOn w:val="Normal"/>
    <w:uiPriority w:val="34"/>
    <w:qFormat/>
    <w:rsid w:val="00163849"/>
    <w:pPr>
      <w:ind w:left="720"/>
      <w:contextualSpacing/>
    </w:pPr>
  </w:style>
  <w:style w:type="character" w:customStyle="1" w:styleId="TextoCar">
    <w:name w:val="Texto Car"/>
    <w:link w:val="Texto"/>
    <w:locked/>
    <w:rsid w:val="00C527BE"/>
    <w:rPr>
      <w:rFonts w:ascii="Arial" w:hAnsi="Arial"/>
      <w:sz w:val="18"/>
      <w:szCs w:val="18"/>
      <w:lang w:val="es-MX" w:eastAsia="es-MX"/>
    </w:rPr>
  </w:style>
  <w:style w:type="table" w:styleId="Tablaconcuadrcula">
    <w:name w:val="Table Grid"/>
    <w:basedOn w:val="Tablanormal"/>
    <w:rsid w:val="00DF21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angradetextonormalCar">
    <w:name w:val="Sangría de texto normal Car"/>
    <w:basedOn w:val="Fuentedeprrafopredeter"/>
    <w:link w:val="Sangradetextonormal"/>
    <w:rsid w:val="00B83815"/>
    <w:rPr>
      <w:rFonts w:ascii="Univers" w:hAnsi="Univers"/>
      <w:sz w:val="28"/>
    </w:rPr>
  </w:style>
  <w:style w:type="paragraph" w:styleId="Ttulo">
    <w:name w:val="Title"/>
    <w:basedOn w:val="Normal"/>
    <w:link w:val="TtuloCar"/>
    <w:qFormat/>
    <w:rsid w:val="00B83815"/>
    <w:pPr>
      <w:jc w:val="center"/>
    </w:pPr>
    <w:rPr>
      <w:rFonts w:ascii="Times New Roman" w:hAnsi="Times New Roman"/>
      <w:b/>
      <w:bCs/>
      <w:sz w:val="28"/>
      <w:szCs w:val="20"/>
      <w:lang w:val="es-MX"/>
    </w:rPr>
  </w:style>
  <w:style w:type="character" w:customStyle="1" w:styleId="TtuloCar">
    <w:name w:val="Título Car"/>
    <w:basedOn w:val="Fuentedeprrafopredeter"/>
    <w:link w:val="Ttulo"/>
    <w:rsid w:val="00B83815"/>
    <w:rPr>
      <w:b/>
      <w:bCs/>
      <w:sz w:val="28"/>
      <w:lang w:val="es-MX"/>
    </w:rPr>
  </w:style>
  <w:style w:type="character" w:customStyle="1" w:styleId="PiedepginaCar">
    <w:name w:val="Pie de página Car"/>
    <w:basedOn w:val="Fuentedeprrafopredeter"/>
    <w:link w:val="Piedepgina"/>
    <w:uiPriority w:val="99"/>
    <w:rsid w:val="00B838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4057"/>
    <w:rPr>
      <w:rFonts w:ascii="Tw Cen MT" w:hAnsi="Tw Cen MT"/>
      <w:sz w:val="24"/>
      <w:szCs w:val="24"/>
    </w:rPr>
  </w:style>
  <w:style w:type="paragraph" w:styleId="Ttulo1">
    <w:name w:val="heading 1"/>
    <w:basedOn w:val="Normal"/>
    <w:next w:val="Normal"/>
    <w:qFormat/>
    <w:rsid w:val="00484057"/>
    <w:pPr>
      <w:keepNext/>
      <w:outlineLvl w:val="0"/>
    </w:pPr>
    <w:rPr>
      <w:rFonts w:ascii="CG Times" w:hAnsi="CG Times"/>
      <w:b/>
      <w:szCs w:val="20"/>
      <w:lang w:val="es-MX"/>
    </w:rPr>
  </w:style>
  <w:style w:type="paragraph" w:styleId="Ttulo2">
    <w:name w:val="heading 2"/>
    <w:basedOn w:val="Normal"/>
    <w:next w:val="Normal"/>
    <w:qFormat/>
    <w:rsid w:val="00484057"/>
    <w:pPr>
      <w:keepNext/>
      <w:jc w:val="both"/>
      <w:outlineLvl w:val="1"/>
    </w:pPr>
    <w:rPr>
      <w:rFonts w:ascii="CG Times" w:hAnsi="CG Times"/>
      <w:b/>
      <w:szCs w:val="20"/>
      <w:lang w:val="es-MX"/>
    </w:rPr>
  </w:style>
  <w:style w:type="paragraph" w:styleId="Ttulo3">
    <w:name w:val="heading 3"/>
    <w:basedOn w:val="Normal"/>
    <w:next w:val="Normal"/>
    <w:qFormat/>
    <w:rsid w:val="00484057"/>
    <w:pPr>
      <w:keepNext/>
      <w:jc w:val="center"/>
      <w:outlineLvl w:val="2"/>
    </w:pPr>
    <w:rPr>
      <w:rFonts w:ascii="CG Times" w:hAnsi="CG Times"/>
      <w:szCs w:val="20"/>
      <w:lang w:val="es-MX"/>
    </w:rPr>
  </w:style>
  <w:style w:type="paragraph" w:styleId="Ttulo4">
    <w:name w:val="heading 4"/>
    <w:basedOn w:val="Normal"/>
    <w:next w:val="Normal"/>
    <w:qFormat/>
    <w:rsid w:val="00484057"/>
    <w:pPr>
      <w:keepNext/>
      <w:tabs>
        <w:tab w:val="left" w:pos="4536"/>
      </w:tabs>
      <w:spacing w:line="200" w:lineRule="exact"/>
      <w:ind w:left="-165"/>
      <w:outlineLvl w:val="3"/>
    </w:pPr>
    <w:rPr>
      <w:rFonts w:ascii="Abadi MT Condensed Light" w:hAnsi="Abadi MT Condensed Light" w:cs="Arial"/>
      <w:b/>
      <w:bCs/>
      <w:szCs w:val="22"/>
    </w:rPr>
  </w:style>
  <w:style w:type="paragraph" w:styleId="Ttulo5">
    <w:name w:val="heading 5"/>
    <w:basedOn w:val="Normal"/>
    <w:next w:val="Normal"/>
    <w:qFormat/>
    <w:rsid w:val="00484057"/>
    <w:pPr>
      <w:keepNext/>
      <w:tabs>
        <w:tab w:val="left" w:pos="4536"/>
      </w:tabs>
      <w:spacing w:line="200" w:lineRule="exact"/>
      <w:ind w:left="-165" w:firstLineChars="8" w:firstLine="15"/>
      <w:outlineLvl w:val="4"/>
    </w:pPr>
    <w:rPr>
      <w:rFonts w:ascii="Abadi MT Condensed Light" w:hAnsi="Abadi MT Condensed Light" w:cs="Arial"/>
      <w:b/>
      <w:bCs/>
      <w:szCs w:val="22"/>
    </w:rPr>
  </w:style>
  <w:style w:type="paragraph" w:styleId="Ttulo6">
    <w:name w:val="heading 6"/>
    <w:basedOn w:val="Normal"/>
    <w:next w:val="Normal"/>
    <w:qFormat/>
    <w:rsid w:val="00484057"/>
    <w:pPr>
      <w:keepNext/>
      <w:tabs>
        <w:tab w:val="left" w:pos="4536"/>
      </w:tabs>
      <w:spacing w:line="200" w:lineRule="exact"/>
      <w:jc w:val="center"/>
      <w:outlineLvl w:val="5"/>
    </w:pPr>
    <w:rPr>
      <w:rFonts w:ascii="Abadi MT Condensed Light" w:hAnsi="Abadi MT Condensed Light" w:cs="Arial"/>
      <w:b/>
      <w:bCs/>
      <w:szCs w:val="22"/>
    </w:rPr>
  </w:style>
  <w:style w:type="paragraph" w:styleId="Ttulo7">
    <w:name w:val="heading 7"/>
    <w:basedOn w:val="Normal"/>
    <w:next w:val="Normal"/>
    <w:qFormat/>
    <w:rsid w:val="00484057"/>
    <w:pPr>
      <w:keepNext/>
      <w:jc w:val="center"/>
      <w:outlineLvl w:val="6"/>
    </w:pPr>
    <w:rPr>
      <w:rFonts w:ascii="Abadi MT Condensed Light" w:hAnsi="Abadi MT Condensed Light"/>
      <w:sz w:val="28"/>
    </w:rPr>
  </w:style>
  <w:style w:type="paragraph" w:styleId="Ttulo8">
    <w:name w:val="heading 8"/>
    <w:basedOn w:val="Normal"/>
    <w:next w:val="Normal"/>
    <w:qFormat/>
    <w:rsid w:val="00484057"/>
    <w:pPr>
      <w:keepNext/>
      <w:outlineLvl w:val="7"/>
    </w:pPr>
    <w:rPr>
      <w:rFonts w:ascii="Abadi MT Condensed Light" w:hAnsi="Abadi MT Condensed Light"/>
      <w:b/>
      <w:bCs/>
      <w:sz w:val="26"/>
      <w:lang w:val="es-MX"/>
    </w:rPr>
  </w:style>
  <w:style w:type="paragraph" w:styleId="Ttulo9">
    <w:name w:val="heading 9"/>
    <w:basedOn w:val="Normal"/>
    <w:next w:val="Normal"/>
    <w:qFormat/>
    <w:rsid w:val="00484057"/>
    <w:pPr>
      <w:keepNext/>
      <w:spacing w:line="360" w:lineRule="auto"/>
      <w:outlineLvl w:val="8"/>
    </w:pPr>
    <w:rPr>
      <w:rFonts w:ascii="Abadi MT Condensed Light" w:hAnsi="Abadi MT Condensed Light"/>
      <w:b/>
      <w:bCs/>
      <w:i/>
      <w:iCs/>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84057"/>
    <w:pPr>
      <w:tabs>
        <w:tab w:val="right" w:pos="709"/>
        <w:tab w:val="right" w:pos="6237"/>
        <w:tab w:val="right" w:pos="8222"/>
      </w:tabs>
      <w:jc w:val="both"/>
    </w:pPr>
    <w:rPr>
      <w:rFonts w:ascii="CG Times" w:hAnsi="CG Times"/>
      <w:b/>
      <w:sz w:val="28"/>
      <w:szCs w:val="20"/>
      <w:lang w:val="es-MX"/>
    </w:rPr>
  </w:style>
  <w:style w:type="paragraph" w:styleId="Sangradetextonormal">
    <w:name w:val="Body Text Indent"/>
    <w:basedOn w:val="Normal"/>
    <w:link w:val="SangradetextonormalCar"/>
    <w:rsid w:val="00484057"/>
    <w:pPr>
      <w:spacing w:line="360" w:lineRule="auto"/>
      <w:ind w:firstLine="709"/>
      <w:jc w:val="both"/>
    </w:pPr>
    <w:rPr>
      <w:rFonts w:ascii="Univers" w:hAnsi="Univers"/>
      <w:sz w:val="28"/>
      <w:szCs w:val="20"/>
    </w:rPr>
  </w:style>
  <w:style w:type="paragraph" w:styleId="Textoindependiente2">
    <w:name w:val="Body Text 2"/>
    <w:basedOn w:val="Normal"/>
    <w:rsid w:val="00484057"/>
    <w:pPr>
      <w:jc w:val="both"/>
    </w:pPr>
    <w:rPr>
      <w:rFonts w:ascii="CG Times" w:hAnsi="CG Times"/>
      <w:sz w:val="28"/>
      <w:szCs w:val="20"/>
      <w:lang w:val="es-MX"/>
    </w:rPr>
  </w:style>
  <w:style w:type="paragraph" w:styleId="Sangra3detindependiente">
    <w:name w:val="Body Text Indent 3"/>
    <w:basedOn w:val="Normal"/>
    <w:rsid w:val="00484057"/>
    <w:pPr>
      <w:spacing w:line="360" w:lineRule="auto"/>
      <w:ind w:firstLine="567"/>
      <w:jc w:val="both"/>
    </w:pPr>
    <w:rPr>
      <w:rFonts w:ascii="Abadi MT Condensed Light" w:hAnsi="Abadi MT Condensed Light"/>
      <w:sz w:val="32"/>
      <w:szCs w:val="20"/>
    </w:rPr>
  </w:style>
  <w:style w:type="paragraph" w:styleId="Sangra2detindependiente">
    <w:name w:val="Body Text Indent 2"/>
    <w:basedOn w:val="Normal"/>
    <w:rsid w:val="00484057"/>
    <w:pPr>
      <w:tabs>
        <w:tab w:val="left" w:pos="3119"/>
      </w:tabs>
      <w:spacing w:line="360" w:lineRule="auto"/>
      <w:ind w:firstLine="708"/>
      <w:jc w:val="both"/>
    </w:pPr>
    <w:rPr>
      <w:rFonts w:ascii="Univers" w:hAnsi="Univers"/>
      <w:sz w:val="28"/>
      <w:szCs w:val="20"/>
    </w:rPr>
  </w:style>
  <w:style w:type="character" w:styleId="Nmerodepgina">
    <w:name w:val="page number"/>
    <w:basedOn w:val="Fuentedeprrafopredeter"/>
    <w:rsid w:val="00484057"/>
  </w:style>
  <w:style w:type="paragraph" w:styleId="Encabezado">
    <w:name w:val="header"/>
    <w:basedOn w:val="Normal"/>
    <w:rsid w:val="00484057"/>
    <w:pPr>
      <w:tabs>
        <w:tab w:val="center" w:pos="4419"/>
        <w:tab w:val="right" w:pos="8838"/>
      </w:tabs>
    </w:pPr>
    <w:rPr>
      <w:rFonts w:ascii="Times New Roman" w:hAnsi="Times New Roman"/>
      <w:sz w:val="20"/>
      <w:szCs w:val="20"/>
    </w:rPr>
  </w:style>
  <w:style w:type="paragraph" w:styleId="Piedepgina">
    <w:name w:val="footer"/>
    <w:basedOn w:val="Normal"/>
    <w:link w:val="PiedepginaCar"/>
    <w:uiPriority w:val="99"/>
    <w:rsid w:val="00484057"/>
    <w:pPr>
      <w:tabs>
        <w:tab w:val="center" w:pos="4419"/>
        <w:tab w:val="right" w:pos="8838"/>
      </w:tabs>
    </w:pPr>
    <w:rPr>
      <w:rFonts w:ascii="Times New Roman" w:hAnsi="Times New Roman"/>
      <w:sz w:val="20"/>
      <w:szCs w:val="20"/>
    </w:rPr>
  </w:style>
  <w:style w:type="paragraph" w:styleId="Textoindependiente3">
    <w:name w:val="Body Text 3"/>
    <w:basedOn w:val="Normal"/>
    <w:rsid w:val="00484057"/>
    <w:pPr>
      <w:tabs>
        <w:tab w:val="left" w:pos="567"/>
        <w:tab w:val="right" w:pos="7938"/>
        <w:tab w:val="left" w:pos="9356"/>
      </w:tabs>
      <w:spacing w:line="360" w:lineRule="auto"/>
      <w:ind w:right="474"/>
      <w:jc w:val="both"/>
    </w:pPr>
    <w:rPr>
      <w:rFonts w:ascii="Abadi MT Condensed Light" w:hAnsi="Abadi MT Condensed Light"/>
      <w:sz w:val="32"/>
    </w:rPr>
  </w:style>
  <w:style w:type="paragraph" w:styleId="Mapadeldocumento">
    <w:name w:val="Document Map"/>
    <w:basedOn w:val="Normal"/>
    <w:semiHidden/>
    <w:rsid w:val="00484057"/>
    <w:pPr>
      <w:shd w:val="clear" w:color="auto" w:fill="000080"/>
    </w:pPr>
    <w:rPr>
      <w:rFonts w:ascii="Tahoma" w:hAnsi="Tahoma" w:cs="Tahoma"/>
    </w:rPr>
  </w:style>
  <w:style w:type="paragraph" w:customStyle="1" w:styleId="xl26">
    <w:name w:val="xl26"/>
    <w:basedOn w:val="Normal"/>
    <w:rsid w:val="00484057"/>
    <w:pPr>
      <w:pBdr>
        <w:top w:val="single" w:sz="4" w:space="0" w:color="auto"/>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7">
    <w:name w:val="xl27"/>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8">
    <w:name w:val="xl28"/>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9">
    <w:name w:val="xl29"/>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0">
    <w:name w:val="xl30"/>
    <w:basedOn w:val="Normal"/>
    <w:rsid w:val="004840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Condensed" w:hAnsi="Gill Sans MT Condensed"/>
      <w:b/>
      <w:bCs/>
    </w:rPr>
  </w:style>
  <w:style w:type="paragraph" w:customStyle="1" w:styleId="xl31">
    <w:name w:val="xl31"/>
    <w:basedOn w:val="Normal"/>
    <w:rsid w:val="00484057"/>
    <w:pPr>
      <w:pBdr>
        <w:right w:val="single" w:sz="4" w:space="0" w:color="auto"/>
      </w:pBdr>
      <w:spacing w:before="100" w:beforeAutospacing="1" w:after="100" w:afterAutospacing="1"/>
    </w:pPr>
    <w:rPr>
      <w:rFonts w:ascii="Gill Sans MT Condensed" w:hAnsi="Gill Sans MT Condensed"/>
    </w:rPr>
  </w:style>
  <w:style w:type="paragraph" w:customStyle="1" w:styleId="xl32">
    <w:name w:val="xl32"/>
    <w:basedOn w:val="Normal"/>
    <w:rsid w:val="00484057"/>
    <w:pPr>
      <w:spacing w:before="100" w:beforeAutospacing="1" w:after="100" w:afterAutospacing="1"/>
    </w:pPr>
    <w:rPr>
      <w:rFonts w:ascii="Abadi MT Condensed Light" w:hAnsi="Abadi MT Condensed Light"/>
      <w:sz w:val="22"/>
      <w:szCs w:val="22"/>
    </w:rPr>
  </w:style>
  <w:style w:type="paragraph" w:customStyle="1" w:styleId="xl33">
    <w:name w:val="xl33"/>
    <w:basedOn w:val="Normal"/>
    <w:rsid w:val="00484057"/>
    <w:pPr>
      <w:pBdr>
        <w:left w:val="single" w:sz="4" w:space="0" w:color="auto"/>
      </w:pBdr>
      <w:spacing w:before="100" w:beforeAutospacing="1" w:after="100" w:afterAutospacing="1"/>
    </w:pPr>
    <w:rPr>
      <w:rFonts w:ascii="Gill Sans MT Condensed" w:hAnsi="Gill Sans MT Condensed"/>
    </w:rPr>
  </w:style>
  <w:style w:type="paragraph" w:customStyle="1" w:styleId="xl34">
    <w:name w:val="xl34"/>
    <w:basedOn w:val="Normal"/>
    <w:rsid w:val="00484057"/>
    <w:pPr>
      <w:pBdr>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5">
    <w:name w:val="xl35"/>
    <w:basedOn w:val="Normal"/>
    <w:rsid w:val="00484057"/>
    <w:pPr>
      <w:pBdr>
        <w:left w:val="single" w:sz="4" w:space="0" w:color="auto"/>
        <w:bottom w:val="single" w:sz="4" w:space="0" w:color="auto"/>
      </w:pBdr>
      <w:spacing w:before="100" w:beforeAutospacing="1" w:after="100" w:afterAutospacing="1"/>
    </w:pPr>
    <w:rPr>
      <w:rFonts w:ascii="Gill Sans MT Condensed" w:hAnsi="Gill Sans MT Condensed"/>
    </w:rPr>
  </w:style>
  <w:style w:type="paragraph" w:customStyle="1" w:styleId="xl36">
    <w:name w:val="xl36"/>
    <w:basedOn w:val="Normal"/>
    <w:rsid w:val="00484057"/>
    <w:pPr>
      <w:pBdr>
        <w:bottom w:val="single" w:sz="4" w:space="0" w:color="auto"/>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7">
    <w:name w:val="xl37"/>
    <w:basedOn w:val="Normal"/>
    <w:rsid w:val="00484057"/>
    <w:pPr>
      <w:pBdr>
        <w:left w:val="single" w:sz="4" w:space="0" w:color="auto"/>
        <w:bottom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8">
    <w:name w:val="xl38"/>
    <w:basedOn w:val="Normal"/>
    <w:rsid w:val="00484057"/>
    <w:pPr>
      <w:pBdr>
        <w:left w:val="single" w:sz="4" w:space="0" w:color="auto"/>
      </w:pBdr>
      <w:spacing w:before="100" w:beforeAutospacing="1" w:after="100" w:afterAutospacing="1"/>
    </w:pPr>
    <w:rPr>
      <w:rFonts w:ascii="Gill Sans MT Condensed" w:hAnsi="Gill Sans MT Condensed"/>
      <w:b/>
      <w:bCs/>
      <w:u w:val="single"/>
    </w:rPr>
  </w:style>
  <w:style w:type="paragraph" w:styleId="Textodebloque">
    <w:name w:val="Block Text"/>
    <w:basedOn w:val="Normal"/>
    <w:rsid w:val="00484057"/>
    <w:pPr>
      <w:tabs>
        <w:tab w:val="right" w:pos="709"/>
        <w:tab w:val="left" w:pos="6660"/>
        <w:tab w:val="right" w:pos="8222"/>
      </w:tabs>
      <w:spacing w:line="460" w:lineRule="exact"/>
      <w:ind w:left="1980" w:right="2052"/>
      <w:jc w:val="center"/>
    </w:pPr>
    <w:rPr>
      <w:rFonts w:ascii="Abadi MT Condensed Light" w:hAnsi="Abadi MT Condensed Light"/>
      <w:b/>
      <w:sz w:val="32"/>
      <w:lang w:val="es-MX"/>
    </w:rPr>
  </w:style>
  <w:style w:type="paragraph" w:styleId="Textodeglobo">
    <w:name w:val="Balloon Text"/>
    <w:basedOn w:val="Normal"/>
    <w:semiHidden/>
    <w:rsid w:val="00282F9D"/>
    <w:rPr>
      <w:rFonts w:ascii="Tahoma" w:hAnsi="Tahoma" w:cs="Tahoma"/>
      <w:sz w:val="16"/>
      <w:szCs w:val="16"/>
    </w:rPr>
  </w:style>
  <w:style w:type="paragraph" w:customStyle="1" w:styleId="Texto">
    <w:name w:val="Texto"/>
    <w:basedOn w:val="Normal"/>
    <w:link w:val="TextoCar"/>
    <w:rsid w:val="004F2801"/>
    <w:pPr>
      <w:spacing w:after="101" w:line="216" w:lineRule="exact"/>
      <w:ind w:firstLine="288"/>
      <w:jc w:val="both"/>
    </w:pPr>
    <w:rPr>
      <w:rFonts w:ascii="Arial" w:hAnsi="Arial"/>
      <w:sz w:val="18"/>
      <w:szCs w:val="18"/>
      <w:lang w:val="es-MX" w:eastAsia="es-MX"/>
    </w:rPr>
  </w:style>
  <w:style w:type="character" w:styleId="Hipervnculo">
    <w:name w:val="Hyperlink"/>
    <w:basedOn w:val="Fuentedeprrafopredeter"/>
    <w:rsid w:val="00C06D8B"/>
    <w:rPr>
      <w:color w:val="0000FF"/>
      <w:u w:val="single"/>
    </w:rPr>
  </w:style>
  <w:style w:type="paragraph" w:styleId="Prrafodelista">
    <w:name w:val="List Paragraph"/>
    <w:basedOn w:val="Normal"/>
    <w:uiPriority w:val="34"/>
    <w:qFormat/>
    <w:rsid w:val="00163849"/>
    <w:pPr>
      <w:ind w:left="720"/>
      <w:contextualSpacing/>
    </w:pPr>
  </w:style>
  <w:style w:type="character" w:customStyle="1" w:styleId="TextoCar">
    <w:name w:val="Texto Car"/>
    <w:link w:val="Texto"/>
    <w:locked/>
    <w:rsid w:val="00C527BE"/>
    <w:rPr>
      <w:rFonts w:ascii="Arial" w:hAnsi="Arial"/>
      <w:sz w:val="18"/>
      <w:szCs w:val="18"/>
      <w:lang w:val="es-MX" w:eastAsia="es-MX"/>
    </w:rPr>
  </w:style>
  <w:style w:type="table" w:styleId="Tablaconcuadrcula">
    <w:name w:val="Table Grid"/>
    <w:basedOn w:val="Tablanormal"/>
    <w:rsid w:val="00DF21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angradetextonormalCar">
    <w:name w:val="Sangría de texto normal Car"/>
    <w:basedOn w:val="Fuentedeprrafopredeter"/>
    <w:link w:val="Sangradetextonormal"/>
    <w:rsid w:val="00B83815"/>
    <w:rPr>
      <w:rFonts w:ascii="Univers" w:hAnsi="Univers"/>
      <w:sz w:val="28"/>
    </w:rPr>
  </w:style>
  <w:style w:type="paragraph" w:styleId="Ttulo">
    <w:name w:val="Title"/>
    <w:basedOn w:val="Normal"/>
    <w:link w:val="TtuloCar"/>
    <w:qFormat/>
    <w:rsid w:val="00B83815"/>
    <w:pPr>
      <w:jc w:val="center"/>
    </w:pPr>
    <w:rPr>
      <w:rFonts w:ascii="Times New Roman" w:hAnsi="Times New Roman"/>
      <w:b/>
      <w:bCs/>
      <w:sz w:val="28"/>
      <w:szCs w:val="20"/>
      <w:lang w:val="es-MX"/>
    </w:rPr>
  </w:style>
  <w:style w:type="character" w:customStyle="1" w:styleId="TtuloCar">
    <w:name w:val="Título Car"/>
    <w:basedOn w:val="Fuentedeprrafopredeter"/>
    <w:link w:val="Ttulo"/>
    <w:rsid w:val="00B83815"/>
    <w:rPr>
      <w:b/>
      <w:bCs/>
      <w:sz w:val="28"/>
      <w:lang w:val="es-MX"/>
    </w:rPr>
  </w:style>
  <w:style w:type="character" w:customStyle="1" w:styleId="PiedepginaCar">
    <w:name w:val="Pie de página Car"/>
    <w:basedOn w:val="Fuentedeprrafopredeter"/>
    <w:link w:val="Piedepgina"/>
    <w:uiPriority w:val="99"/>
    <w:rsid w:val="00B83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5760">
      <w:bodyDiv w:val="1"/>
      <w:marLeft w:val="0"/>
      <w:marRight w:val="0"/>
      <w:marTop w:val="0"/>
      <w:marBottom w:val="0"/>
      <w:divBdr>
        <w:top w:val="none" w:sz="0" w:space="0" w:color="auto"/>
        <w:left w:val="none" w:sz="0" w:space="0" w:color="auto"/>
        <w:bottom w:val="none" w:sz="0" w:space="0" w:color="auto"/>
        <w:right w:val="none" w:sz="0" w:space="0" w:color="auto"/>
      </w:divBdr>
    </w:div>
    <w:div w:id="38480245">
      <w:bodyDiv w:val="1"/>
      <w:marLeft w:val="0"/>
      <w:marRight w:val="0"/>
      <w:marTop w:val="0"/>
      <w:marBottom w:val="0"/>
      <w:divBdr>
        <w:top w:val="none" w:sz="0" w:space="0" w:color="auto"/>
        <w:left w:val="none" w:sz="0" w:space="0" w:color="auto"/>
        <w:bottom w:val="none" w:sz="0" w:space="0" w:color="auto"/>
        <w:right w:val="none" w:sz="0" w:space="0" w:color="auto"/>
      </w:divBdr>
    </w:div>
    <w:div w:id="85881896">
      <w:bodyDiv w:val="1"/>
      <w:marLeft w:val="0"/>
      <w:marRight w:val="0"/>
      <w:marTop w:val="0"/>
      <w:marBottom w:val="0"/>
      <w:divBdr>
        <w:top w:val="none" w:sz="0" w:space="0" w:color="auto"/>
        <w:left w:val="none" w:sz="0" w:space="0" w:color="auto"/>
        <w:bottom w:val="none" w:sz="0" w:space="0" w:color="auto"/>
        <w:right w:val="none" w:sz="0" w:space="0" w:color="auto"/>
      </w:divBdr>
    </w:div>
    <w:div w:id="89666473">
      <w:bodyDiv w:val="1"/>
      <w:marLeft w:val="0"/>
      <w:marRight w:val="0"/>
      <w:marTop w:val="0"/>
      <w:marBottom w:val="0"/>
      <w:divBdr>
        <w:top w:val="none" w:sz="0" w:space="0" w:color="auto"/>
        <w:left w:val="none" w:sz="0" w:space="0" w:color="auto"/>
        <w:bottom w:val="none" w:sz="0" w:space="0" w:color="auto"/>
        <w:right w:val="none" w:sz="0" w:space="0" w:color="auto"/>
      </w:divBdr>
    </w:div>
    <w:div w:id="172963238">
      <w:bodyDiv w:val="1"/>
      <w:marLeft w:val="0"/>
      <w:marRight w:val="0"/>
      <w:marTop w:val="0"/>
      <w:marBottom w:val="0"/>
      <w:divBdr>
        <w:top w:val="none" w:sz="0" w:space="0" w:color="auto"/>
        <w:left w:val="none" w:sz="0" w:space="0" w:color="auto"/>
        <w:bottom w:val="none" w:sz="0" w:space="0" w:color="auto"/>
        <w:right w:val="none" w:sz="0" w:space="0" w:color="auto"/>
      </w:divBdr>
    </w:div>
    <w:div w:id="206450910">
      <w:bodyDiv w:val="1"/>
      <w:marLeft w:val="0"/>
      <w:marRight w:val="0"/>
      <w:marTop w:val="0"/>
      <w:marBottom w:val="0"/>
      <w:divBdr>
        <w:top w:val="none" w:sz="0" w:space="0" w:color="auto"/>
        <w:left w:val="none" w:sz="0" w:space="0" w:color="auto"/>
        <w:bottom w:val="none" w:sz="0" w:space="0" w:color="auto"/>
        <w:right w:val="none" w:sz="0" w:space="0" w:color="auto"/>
      </w:divBdr>
    </w:div>
    <w:div w:id="214581579">
      <w:bodyDiv w:val="1"/>
      <w:marLeft w:val="0"/>
      <w:marRight w:val="0"/>
      <w:marTop w:val="0"/>
      <w:marBottom w:val="0"/>
      <w:divBdr>
        <w:top w:val="none" w:sz="0" w:space="0" w:color="auto"/>
        <w:left w:val="none" w:sz="0" w:space="0" w:color="auto"/>
        <w:bottom w:val="none" w:sz="0" w:space="0" w:color="auto"/>
        <w:right w:val="none" w:sz="0" w:space="0" w:color="auto"/>
      </w:divBdr>
    </w:div>
    <w:div w:id="250703274">
      <w:bodyDiv w:val="1"/>
      <w:marLeft w:val="0"/>
      <w:marRight w:val="0"/>
      <w:marTop w:val="0"/>
      <w:marBottom w:val="0"/>
      <w:divBdr>
        <w:top w:val="none" w:sz="0" w:space="0" w:color="auto"/>
        <w:left w:val="none" w:sz="0" w:space="0" w:color="auto"/>
        <w:bottom w:val="none" w:sz="0" w:space="0" w:color="auto"/>
        <w:right w:val="none" w:sz="0" w:space="0" w:color="auto"/>
      </w:divBdr>
    </w:div>
    <w:div w:id="343671989">
      <w:bodyDiv w:val="1"/>
      <w:marLeft w:val="0"/>
      <w:marRight w:val="0"/>
      <w:marTop w:val="0"/>
      <w:marBottom w:val="0"/>
      <w:divBdr>
        <w:top w:val="none" w:sz="0" w:space="0" w:color="auto"/>
        <w:left w:val="none" w:sz="0" w:space="0" w:color="auto"/>
        <w:bottom w:val="none" w:sz="0" w:space="0" w:color="auto"/>
        <w:right w:val="none" w:sz="0" w:space="0" w:color="auto"/>
      </w:divBdr>
    </w:div>
    <w:div w:id="347677933">
      <w:bodyDiv w:val="1"/>
      <w:marLeft w:val="0"/>
      <w:marRight w:val="0"/>
      <w:marTop w:val="0"/>
      <w:marBottom w:val="0"/>
      <w:divBdr>
        <w:top w:val="none" w:sz="0" w:space="0" w:color="auto"/>
        <w:left w:val="none" w:sz="0" w:space="0" w:color="auto"/>
        <w:bottom w:val="none" w:sz="0" w:space="0" w:color="auto"/>
        <w:right w:val="none" w:sz="0" w:space="0" w:color="auto"/>
      </w:divBdr>
    </w:div>
    <w:div w:id="366419669">
      <w:bodyDiv w:val="1"/>
      <w:marLeft w:val="0"/>
      <w:marRight w:val="0"/>
      <w:marTop w:val="0"/>
      <w:marBottom w:val="0"/>
      <w:divBdr>
        <w:top w:val="none" w:sz="0" w:space="0" w:color="auto"/>
        <w:left w:val="none" w:sz="0" w:space="0" w:color="auto"/>
        <w:bottom w:val="none" w:sz="0" w:space="0" w:color="auto"/>
        <w:right w:val="none" w:sz="0" w:space="0" w:color="auto"/>
      </w:divBdr>
    </w:div>
    <w:div w:id="426578559">
      <w:bodyDiv w:val="1"/>
      <w:marLeft w:val="0"/>
      <w:marRight w:val="0"/>
      <w:marTop w:val="0"/>
      <w:marBottom w:val="0"/>
      <w:divBdr>
        <w:top w:val="none" w:sz="0" w:space="0" w:color="auto"/>
        <w:left w:val="none" w:sz="0" w:space="0" w:color="auto"/>
        <w:bottom w:val="none" w:sz="0" w:space="0" w:color="auto"/>
        <w:right w:val="none" w:sz="0" w:space="0" w:color="auto"/>
      </w:divBdr>
    </w:div>
    <w:div w:id="435096602">
      <w:bodyDiv w:val="1"/>
      <w:marLeft w:val="0"/>
      <w:marRight w:val="0"/>
      <w:marTop w:val="0"/>
      <w:marBottom w:val="0"/>
      <w:divBdr>
        <w:top w:val="none" w:sz="0" w:space="0" w:color="auto"/>
        <w:left w:val="none" w:sz="0" w:space="0" w:color="auto"/>
        <w:bottom w:val="none" w:sz="0" w:space="0" w:color="auto"/>
        <w:right w:val="none" w:sz="0" w:space="0" w:color="auto"/>
      </w:divBdr>
    </w:div>
    <w:div w:id="655301181">
      <w:bodyDiv w:val="1"/>
      <w:marLeft w:val="0"/>
      <w:marRight w:val="0"/>
      <w:marTop w:val="0"/>
      <w:marBottom w:val="0"/>
      <w:divBdr>
        <w:top w:val="none" w:sz="0" w:space="0" w:color="auto"/>
        <w:left w:val="none" w:sz="0" w:space="0" w:color="auto"/>
        <w:bottom w:val="none" w:sz="0" w:space="0" w:color="auto"/>
        <w:right w:val="none" w:sz="0" w:space="0" w:color="auto"/>
      </w:divBdr>
    </w:div>
    <w:div w:id="656223774">
      <w:bodyDiv w:val="1"/>
      <w:marLeft w:val="0"/>
      <w:marRight w:val="0"/>
      <w:marTop w:val="0"/>
      <w:marBottom w:val="0"/>
      <w:divBdr>
        <w:top w:val="none" w:sz="0" w:space="0" w:color="auto"/>
        <w:left w:val="none" w:sz="0" w:space="0" w:color="auto"/>
        <w:bottom w:val="none" w:sz="0" w:space="0" w:color="auto"/>
        <w:right w:val="none" w:sz="0" w:space="0" w:color="auto"/>
      </w:divBdr>
    </w:div>
    <w:div w:id="725223756">
      <w:bodyDiv w:val="1"/>
      <w:marLeft w:val="0"/>
      <w:marRight w:val="0"/>
      <w:marTop w:val="0"/>
      <w:marBottom w:val="0"/>
      <w:divBdr>
        <w:top w:val="none" w:sz="0" w:space="0" w:color="auto"/>
        <w:left w:val="none" w:sz="0" w:space="0" w:color="auto"/>
        <w:bottom w:val="none" w:sz="0" w:space="0" w:color="auto"/>
        <w:right w:val="none" w:sz="0" w:space="0" w:color="auto"/>
      </w:divBdr>
    </w:div>
    <w:div w:id="817965616">
      <w:bodyDiv w:val="1"/>
      <w:marLeft w:val="0"/>
      <w:marRight w:val="0"/>
      <w:marTop w:val="0"/>
      <w:marBottom w:val="0"/>
      <w:divBdr>
        <w:top w:val="none" w:sz="0" w:space="0" w:color="auto"/>
        <w:left w:val="none" w:sz="0" w:space="0" w:color="auto"/>
        <w:bottom w:val="none" w:sz="0" w:space="0" w:color="auto"/>
        <w:right w:val="none" w:sz="0" w:space="0" w:color="auto"/>
      </w:divBdr>
    </w:div>
    <w:div w:id="984965163">
      <w:bodyDiv w:val="1"/>
      <w:marLeft w:val="0"/>
      <w:marRight w:val="0"/>
      <w:marTop w:val="0"/>
      <w:marBottom w:val="0"/>
      <w:divBdr>
        <w:top w:val="none" w:sz="0" w:space="0" w:color="auto"/>
        <w:left w:val="none" w:sz="0" w:space="0" w:color="auto"/>
        <w:bottom w:val="none" w:sz="0" w:space="0" w:color="auto"/>
        <w:right w:val="none" w:sz="0" w:space="0" w:color="auto"/>
      </w:divBdr>
    </w:div>
    <w:div w:id="1046102819">
      <w:bodyDiv w:val="1"/>
      <w:marLeft w:val="0"/>
      <w:marRight w:val="0"/>
      <w:marTop w:val="0"/>
      <w:marBottom w:val="0"/>
      <w:divBdr>
        <w:top w:val="none" w:sz="0" w:space="0" w:color="auto"/>
        <w:left w:val="none" w:sz="0" w:space="0" w:color="auto"/>
        <w:bottom w:val="none" w:sz="0" w:space="0" w:color="auto"/>
        <w:right w:val="none" w:sz="0" w:space="0" w:color="auto"/>
      </w:divBdr>
    </w:div>
    <w:div w:id="1150446247">
      <w:bodyDiv w:val="1"/>
      <w:marLeft w:val="0"/>
      <w:marRight w:val="0"/>
      <w:marTop w:val="0"/>
      <w:marBottom w:val="0"/>
      <w:divBdr>
        <w:top w:val="none" w:sz="0" w:space="0" w:color="auto"/>
        <w:left w:val="none" w:sz="0" w:space="0" w:color="auto"/>
        <w:bottom w:val="none" w:sz="0" w:space="0" w:color="auto"/>
        <w:right w:val="none" w:sz="0" w:space="0" w:color="auto"/>
      </w:divBdr>
    </w:div>
    <w:div w:id="1224095534">
      <w:bodyDiv w:val="1"/>
      <w:marLeft w:val="0"/>
      <w:marRight w:val="0"/>
      <w:marTop w:val="0"/>
      <w:marBottom w:val="0"/>
      <w:divBdr>
        <w:top w:val="none" w:sz="0" w:space="0" w:color="auto"/>
        <w:left w:val="none" w:sz="0" w:space="0" w:color="auto"/>
        <w:bottom w:val="none" w:sz="0" w:space="0" w:color="auto"/>
        <w:right w:val="none" w:sz="0" w:space="0" w:color="auto"/>
      </w:divBdr>
    </w:div>
    <w:div w:id="1434935490">
      <w:bodyDiv w:val="1"/>
      <w:marLeft w:val="0"/>
      <w:marRight w:val="0"/>
      <w:marTop w:val="0"/>
      <w:marBottom w:val="0"/>
      <w:divBdr>
        <w:top w:val="none" w:sz="0" w:space="0" w:color="auto"/>
        <w:left w:val="none" w:sz="0" w:space="0" w:color="auto"/>
        <w:bottom w:val="none" w:sz="0" w:space="0" w:color="auto"/>
        <w:right w:val="none" w:sz="0" w:space="0" w:color="auto"/>
      </w:divBdr>
    </w:div>
    <w:div w:id="1457094582">
      <w:bodyDiv w:val="1"/>
      <w:marLeft w:val="0"/>
      <w:marRight w:val="0"/>
      <w:marTop w:val="0"/>
      <w:marBottom w:val="0"/>
      <w:divBdr>
        <w:top w:val="none" w:sz="0" w:space="0" w:color="auto"/>
        <w:left w:val="none" w:sz="0" w:space="0" w:color="auto"/>
        <w:bottom w:val="none" w:sz="0" w:space="0" w:color="auto"/>
        <w:right w:val="none" w:sz="0" w:space="0" w:color="auto"/>
      </w:divBdr>
    </w:div>
    <w:div w:id="1458136519">
      <w:bodyDiv w:val="1"/>
      <w:marLeft w:val="0"/>
      <w:marRight w:val="0"/>
      <w:marTop w:val="0"/>
      <w:marBottom w:val="0"/>
      <w:divBdr>
        <w:top w:val="none" w:sz="0" w:space="0" w:color="auto"/>
        <w:left w:val="none" w:sz="0" w:space="0" w:color="auto"/>
        <w:bottom w:val="none" w:sz="0" w:space="0" w:color="auto"/>
        <w:right w:val="none" w:sz="0" w:space="0" w:color="auto"/>
      </w:divBdr>
    </w:div>
    <w:div w:id="1493718253">
      <w:bodyDiv w:val="1"/>
      <w:marLeft w:val="0"/>
      <w:marRight w:val="0"/>
      <w:marTop w:val="0"/>
      <w:marBottom w:val="0"/>
      <w:divBdr>
        <w:top w:val="none" w:sz="0" w:space="0" w:color="auto"/>
        <w:left w:val="none" w:sz="0" w:space="0" w:color="auto"/>
        <w:bottom w:val="none" w:sz="0" w:space="0" w:color="auto"/>
        <w:right w:val="none" w:sz="0" w:space="0" w:color="auto"/>
      </w:divBdr>
    </w:div>
    <w:div w:id="1535845405">
      <w:bodyDiv w:val="1"/>
      <w:marLeft w:val="0"/>
      <w:marRight w:val="0"/>
      <w:marTop w:val="0"/>
      <w:marBottom w:val="0"/>
      <w:divBdr>
        <w:top w:val="none" w:sz="0" w:space="0" w:color="auto"/>
        <w:left w:val="none" w:sz="0" w:space="0" w:color="auto"/>
        <w:bottom w:val="none" w:sz="0" w:space="0" w:color="auto"/>
        <w:right w:val="none" w:sz="0" w:space="0" w:color="auto"/>
      </w:divBdr>
    </w:div>
    <w:div w:id="1618752770">
      <w:bodyDiv w:val="1"/>
      <w:marLeft w:val="0"/>
      <w:marRight w:val="0"/>
      <w:marTop w:val="0"/>
      <w:marBottom w:val="0"/>
      <w:divBdr>
        <w:top w:val="none" w:sz="0" w:space="0" w:color="auto"/>
        <w:left w:val="none" w:sz="0" w:space="0" w:color="auto"/>
        <w:bottom w:val="none" w:sz="0" w:space="0" w:color="auto"/>
        <w:right w:val="none" w:sz="0" w:space="0" w:color="auto"/>
      </w:divBdr>
    </w:div>
    <w:div w:id="1665475867">
      <w:bodyDiv w:val="1"/>
      <w:marLeft w:val="0"/>
      <w:marRight w:val="0"/>
      <w:marTop w:val="0"/>
      <w:marBottom w:val="0"/>
      <w:divBdr>
        <w:top w:val="none" w:sz="0" w:space="0" w:color="auto"/>
        <w:left w:val="none" w:sz="0" w:space="0" w:color="auto"/>
        <w:bottom w:val="none" w:sz="0" w:space="0" w:color="auto"/>
        <w:right w:val="none" w:sz="0" w:space="0" w:color="auto"/>
      </w:divBdr>
    </w:div>
    <w:div w:id="1666279203">
      <w:bodyDiv w:val="1"/>
      <w:marLeft w:val="0"/>
      <w:marRight w:val="0"/>
      <w:marTop w:val="0"/>
      <w:marBottom w:val="0"/>
      <w:divBdr>
        <w:top w:val="none" w:sz="0" w:space="0" w:color="auto"/>
        <w:left w:val="none" w:sz="0" w:space="0" w:color="auto"/>
        <w:bottom w:val="none" w:sz="0" w:space="0" w:color="auto"/>
        <w:right w:val="none" w:sz="0" w:space="0" w:color="auto"/>
      </w:divBdr>
    </w:div>
    <w:div w:id="1732919515">
      <w:bodyDiv w:val="1"/>
      <w:marLeft w:val="0"/>
      <w:marRight w:val="0"/>
      <w:marTop w:val="0"/>
      <w:marBottom w:val="0"/>
      <w:divBdr>
        <w:top w:val="none" w:sz="0" w:space="0" w:color="auto"/>
        <w:left w:val="none" w:sz="0" w:space="0" w:color="auto"/>
        <w:bottom w:val="none" w:sz="0" w:space="0" w:color="auto"/>
        <w:right w:val="none" w:sz="0" w:space="0" w:color="auto"/>
      </w:divBdr>
    </w:div>
    <w:div w:id="1774470192">
      <w:bodyDiv w:val="1"/>
      <w:marLeft w:val="0"/>
      <w:marRight w:val="0"/>
      <w:marTop w:val="0"/>
      <w:marBottom w:val="0"/>
      <w:divBdr>
        <w:top w:val="none" w:sz="0" w:space="0" w:color="auto"/>
        <w:left w:val="none" w:sz="0" w:space="0" w:color="auto"/>
        <w:bottom w:val="none" w:sz="0" w:space="0" w:color="auto"/>
        <w:right w:val="none" w:sz="0" w:space="0" w:color="auto"/>
      </w:divBdr>
    </w:div>
    <w:div w:id="1776435612">
      <w:bodyDiv w:val="1"/>
      <w:marLeft w:val="0"/>
      <w:marRight w:val="0"/>
      <w:marTop w:val="0"/>
      <w:marBottom w:val="0"/>
      <w:divBdr>
        <w:top w:val="none" w:sz="0" w:space="0" w:color="auto"/>
        <w:left w:val="none" w:sz="0" w:space="0" w:color="auto"/>
        <w:bottom w:val="none" w:sz="0" w:space="0" w:color="auto"/>
        <w:right w:val="none" w:sz="0" w:space="0" w:color="auto"/>
      </w:divBdr>
    </w:div>
    <w:div w:id="1906183921">
      <w:bodyDiv w:val="1"/>
      <w:marLeft w:val="0"/>
      <w:marRight w:val="0"/>
      <w:marTop w:val="0"/>
      <w:marBottom w:val="0"/>
      <w:divBdr>
        <w:top w:val="none" w:sz="0" w:space="0" w:color="auto"/>
        <w:left w:val="none" w:sz="0" w:space="0" w:color="auto"/>
        <w:bottom w:val="none" w:sz="0" w:space="0" w:color="auto"/>
        <w:right w:val="none" w:sz="0" w:space="0" w:color="auto"/>
      </w:divBdr>
    </w:div>
    <w:div w:id="1951207181">
      <w:bodyDiv w:val="1"/>
      <w:marLeft w:val="0"/>
      <w:marRight w:val="0"/>
      <w:marTop w:val="0"/>
      <w:marBottom w:val="0"/>
      <w:divBdr>
        <w:top w:val="none" w:sz="0" w:space="0" w:color="auto"/>
        <w:left w:val="none" w:sz="0" w:space="0" w:color="auto"/>
        <w:bottom w:val="none" w:sz="0" w:space="0" w:color="auto"/>
        <w:right w:val="none" w:sz="0" w:space="0" w:color="auto"/>
      </w:divBdr>
    </w:div>
    <w:div w:id="1960330488">
      <w:bodyDiv w:val="1"/>
      <w:marLeft w:val="0"/>
      <w:marRight w:val="0"/>
      <w:marTop w:val="0"/>
      <w:marBottom w:val="0"/>
      <w:divBdr>
        <w:top w:val="none" w:sz="0" w:space="0" w:color="auto"/>
        <w:left w:val="none" w:sz="0" w:space="0" w:color="auto"/>
        <w:bottom w:val="none" w:sz="0" w:space="0" w:color="auto"/>
        <w:right w:val="none" w:sz="0" w:space="0" w:color="auto"/>
      </w:divBdr>
    </w:div>
    <w:div w:id="1966424340">
      <w:bodyDiv w:val="1"/>
      <w:marLeft w:val="0"/>
      <w:marRight w:val="0"/>
      <w:marTop w:val="0"/>
      <w:marBottom w:val="0"/>
      <w:divBdr>
        <w:top w:val="none" w:sz="0" w:space="0" w:color="auto"/>
        <w:left w:val="none" w:sz="0" w:space="0" w:color="auto"/>
        <w:bottom w:val="none" w:sz="0" w:space="0" w:color="auto"/>
        <w:right w:val="none" w:sz="0" w:space="0" w:color="auto"/>
      </w:divBdr>
    </w:div>
    <w:div w:id="1996911751">
      <w:bodyDiv w:val="1"/>
      <w:marLeft w:val="0"/>
      <w:marRight w:val="0"/>
      <w:marTop w:val="0"/>
      <w:marBottom w:val="0"/>
      <w:divBdr>
        <w:top w:val="none" w:sz="0" w:space="0" w:color="auto"/>
        <w:left w:val="none" w:sz="0" w:space="0" w:color="auto"/>
        <w:bottom w:val="none" w:sz="0" w:space="0" w:color="auto"/>
        <w:right w:val="none" w:sz="0" w:space="0" w:color="auto"/>
      </w:divBdr>
    </w:div>
    <w:div w:id="206945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2.xlsx"/><Relationship Id="rId18" Type="http://schemas.openxmlformats.org/officeDocument/2006/relationships/image" Target="media/image5.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Microsoft_Excel_97-2003_Worksheet3.xls"/><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oleObject" Target="embeddings/Microsoft_Excel_97-2003_Worksheet1.xls"/><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1.xlsx"/><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oleObject" Target="embeddings/Microsoft_Excel_97-2003_Worksheet4.xls"/><Relationship Id="rId28"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oleObject" Target="embeddings/Microsoft_Excel_97-2003_Worksheet2.xls"/><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image" Target="media/image7.emf"/><Relationship Id="rId27" Type="http://schemas.openxmlformats.org/officeDocument/2006/relationships/footer" Target="foot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Jrivera\Desktop\Mis%20documentos\CUENTA%20P&#218;BLICA%20ANUAL%202015\PIB%20NAYARIT%20PARA%20CUENTA%20P&#218;BLICA%202015%20(GR&#193;FIC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rivera\Desktop\Mis%20documentos\CUENTA%20P&#218;BLICA%20ANUAL%202015\TRABAJADORES%20ASEGURADOS%20EN%20EL%20IMSS%20EN%20NAYARIT%20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47"/>
      <c:rotY val="20"/>
      <c:depthPercent val="500"/>
      <c:rAngAx val="1"/>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0.18940936863543789"/>
          <c:y val="5.6451612903225805E-2"/>
          <c:w val="0.7820773930753564"/>
          <c:h val="0.782258064516129"/>
        </c:manualLayout>
      </c:layout>
      <c:bar3DChart>
        <c:barDir val="col"/>
        <c:grouping val="clustered"/>
        <c:varyColors val="0"/>
        <c:ser>
          <c:idx val="0"/>
          <c:order val="0"/>
          <c:spPr>
            <a:solidFill>
              <a:srgbClr val="9999FF"/>
            </a:solidFill>
            <a:ln w="12700">
              <a:solidFill>
                <a:srgbClr val="000000"/>
              </a:solidFill>
              <a:prstDash val="solid"/>
            </a:ln>
          </c:spPr>
          <c:invertIfNegative val="0"/>
          <c:dPt>
            <c:idx val="0"/>
            <c:invertIfNegative val="0"/>
            <c:bubble3D val="0"/>
            <c:spPr>
              <a:solidFill>
                <a:srgbClr val="CC99FF"/>
              </a:solidFill>
              <a:ln w="12700">
                <a:solidFill>
                  <a:srgbClr val="000000"/>
                </a:solidFill>
                <a:prstDash val="solid"/>
              </a:ln>
            </c:spPr>
          </c:dPt>
          <c:dPt>
            <c:idx val="1"/>
            <c:invertIfNegative val="0"/>
            <c:bubble3D val="0"/>
            <c:spPr>
              <a:solidFill>
                <a:srgbClr val="808000"/>
              </a:solidFill>
              <a:ln w="12700">
                <a:solidFill>
                  <a:srgbClr val="000000"/>
                </a:solidFill>
                <a:prstDash val="solid"/>
              </a:ln>
            </c:spPr>
          </c:dPt>
          <c:dPt>
            <c:idx val="2"/>
            <c:invertIfNegative val="0"/>
            <c:bubble3D val="0"/>
            <c:spPr>
              <a:solidFill>
                <a:srgbClr val="00FFFF"/>
              </a:solidFill>
              <a:ln w="12700">
                <a:solidFill>
                  <a:srgbClr val="000000"/>
                </a:solidFill>
                <a:prstDash val="solid"/>
              </a:ln>
            </c:spPr>
          </c:dPt>
          <c:dPt>
            <c:idx val="3"/>
            <c:invertIfNegative val="0"/>
            <c:bubble3D val="0"/>
            <c:spPr>
              <a:solidFill>
                <a:srgbClr val="993300"/>
              </a:solidFill>
              <a:ln w="12700">
                <a:solidFill>
                  <a:srgbClr val="000000"/>
                </a:solidFill>
                <a:prstDash val="solid"/>
              </a:ln>
            </c:spPr>
          </c:dPt>
          <c:dPt>
            <c:idx val="4"/>
            <c:invertIfNegative val="0"/>
            <c:bubble3D val="0"/>
            <c:spPr>
              <a:solidFill>
                <a:srgbClr val="FF0000"/>
              </a:solidFill>
              <a:ln w="12700">
                <a:solidFill>
                  <a:srgbClr val="000000"/>
                </a:solidFill>
                <a:prstDash val="solid"/>
              </a:ln>
            </c:spPr>
          </c:dPt>
          <c:dLbls>
            <c:dLbl>
              <c:idx val="0"/>
              <c:layout>
                <c:manualLayout>
                  <c:x val="5.6934960523009989E-2"/>
                  <c:y val="-0.13722250444500886"/>
                </c:manualLayout>
              </c:layout>
              <c:showLegendKey val="0"/>
              <c:showVal val="1"/>
              <c:showCatName val="0"/>
              <c:showSerName val="0"/>
              <c:showPercent val="0"/>
              <c:showBubbleSize val="0"/>
            </c:dLbl>
            <c:dLbl>
              <c:idx val="1"/>
              <c:layout>
                <c:manualLayout>
                  <c:x val="6.3914128860165398E-2"/>
                  <c:y val="-0.1413237659808653"/>
                </c:manualLayout>
              </c:layout>
              <c:showLegendKey val="0"/>
              <c:showVal val="1"/>
              <c:showCatName val="0"/>
              <c:showSerName val="0"/>
              <c:showPercent val="0"/>
              <c:showBubbleSize val="0"/>
            </c:dLbl>
            <c:dLbl>
              <c:idx val="2"/>
              <c:layout>
                <c:manualLayout>
                  <c:x val="6.4783317563919626E-2"/>
                  <c:y val="-0.13671450342900685"/>
                </c:manualLayout>
              </c:layout>
              <c:showLegendKey val="0"/>
              <c:showVal val="1"/>
              <c:showCatName val="0"/>
              <c:showSerName val="0"/>
              <c:showPercent val="0"/>
              <c:showBubbleSize val="0"/>
            </c:dLbl>
            <c:dLbl>
              <c:idx val="3"/>
              <c:layout>
                <c:manualLayout>
                  <c:x val="6.5652720090233083E-2"/>
                  <c:y val="-0.13166497332994667"/>
                </c:manualLayout>
              </c:layout>
              <c:showLegendKey val="0"/>
              <c:showVal val="1"/>
              <c:showCatName val="0"/>
              <c:showSerName val="0"/>
              <c:showPercent val="0"/>
              <c:showBubbleSize val="0"/>
            </c:dLbl>
            <c:dLbl>
              <c:idx val="4"/>
              <c:layout>
                <c:manualLayout>
                  <c:x val="0.13780500451700156"/>
                  <c:y val="-0.14764372195411057"/>
                </c:manualLayout>
              </c:layout>
              <c:showLegendKey val="0"/>
              <c:showVal val="1"/>
              <c:showCatName val="0"/>
              <c:showSerName val="0"/>
              <c:showPercent val="0"/>
              <c:showBubbleSize val="0"/>
            </c:dLbl>
            <c:spPr>
              <a:noFill/>
              <a:ln w="25400">
                <a:noFill/>
              </a:ln>
            </c:spPr>
            <c:txPr>
              <a:bodyPr/>
              <a:lstStyle/>
              <a:p>
                <a:pPr algn="ctr" rtl="0">
                  <a:defRPr sz="700" b="0" i="0" u="none" strike="noStrike" baseline="0">
                    <a:solidFill>
                      <a:srgbClr val="000000"/>
                    </a:solidFill>
                    <a:latin typeface="Arial"/>
                    <a:ea typeface="Arial"/>
                    <a:cs typeface="Arial"/>
                  </a:defRPr>
                </a:pPr>
                <a:endParaRPr lang="es-MX"/>
              </a:p>
            </c:txPr>
            <c:showLegendKey val="0"/>
            <c:showVal val="1"/>
            <c:showCatName val="0"/>
            <c:showSerName val="0"/>
            <c:showPercent val="0"/>
            <c:showBubbleSize val="0"/>
            <c:showLeaderLines val="0"/>
          </c:dLbls>
          <c:cat>
            <c:strRef>
              <c:f>'2009-2013'!$A$5:$A$9</c:f>
              <c:strCache>
                <c:ptCount val="5"/>
                <c:pt idx="0">
                  <c:v>2010</c:v>
                </c:pt>
                <c:pt idx="1">
                  <c:v>2011</c:v>
                </c:pt>
                <c:pt idx="2">
                  <c:v>2012</c:v>
                </c:pt>
                <c:pt idx="3">
                  <c:v>2013</c:v>
                </c:pt>
                <c:pt idx="4">
                  <c:v>2014</c:v>
                </c:pt>
              </c:strCache>
            </c:strRef>
          </c:cat>
          <c:val>
            <c:numRef>
              <c:f>'2009-2013'!$B$5:$B$9</c:f>
              <c:numCache>
                <c:formatCode>_-* #,##0_-;\-* #,##0_-;_-* "-"??_-;_-@_-</c:formatCode>
                <c:ptCount val="5"/>
                <c:pt idx="0">
                  <c:v>78389</c:v>
                </c:pt>
                <c:pt idx="1">
                  <c:v>80083</c:v>
                </c:pt>
                <c:pt idx="2">
                  <c:v>81082</c:v>
                </c:pt>
                <c:pt idx="3">
                  <c:v>84254</c:v>
                </c:pt>
                <c:pt idx="4">
                  <c:v>87777</c:v>
                </c:pt>
              </c:numCache>
            </c:numRef>
          </c:val>
        </c:ser>
        <c:dLbls>
          <c:showLegendKey val="0"/>
          <c:showVal val="1"/>
          <c:showCatName val="0"/>
          <c:showSerName val="0"/>
          <c:showPercent val="0"/>
          <c:showBubbleSize val="0"/>
        </c:dLbls>
        <c:gapWidth val="150"/>
        <c:gapDepth val="0"/>
        <c:shape val="box"/>
        <c:axId val="292788096"/>
        <c:axId val="292805248"/>
        <c:axId val="0"/>
      </c:bar3DChart>
      <c:catAx>
        <c:axId val="29278809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s-MX"/>
          </a:p>
        </c:txPr>
        <c:crossAx val="292805248"/>
        <c:crosses val="autoZero"/>
        <c:auto val="1"/>
        <c:lblAlgn val="ctr"/>
        <c:lblOffset val="100"/>
        <c:tickLblSkip val="1"/>
        <c:tickMarkSkip val="1"/>
        <c:noMultiLvlLbl val="0"/>
      </c:catAx>
      <c:valAx>
        <c:axId val="292805248"/>
        <c:scaling>
          <c:orientation val="minMax"/>
          <c:max val="90000"/>
          <c:min val="60000"/>
        </c:scaling>
        <c:delete val="0"/>
        <c:axPos val="l"/>
        <c:numFmt formatCode="_-* #,##0_-;\-* #,##0_-;_-* &quot;-&quot;??_-;_-@_-"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s-MX"/>
          </a:p>
        </c:txPr>
        <c:crossAx val="292788096"/>
        <c:crosses val="autoZero"/>
        <c:crossBetween val="between"/>
        <c:majorUnit val="2000"/>
      </c:valAx>
      <c:spPr>
        <a:noFill/>
        <a:ln w="25400">
          <a:noFill/>
        </a:ln>
      </c:spPr>
    </c:plotArea>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441955193482691"/>
          <c:y val="0.10344866292752831"/>
          <c:w val="0.83299389002036661"/>
          <c:h val="0.5823776579623815"/>
        </c:manualLayout>
      </c:layout>
      <c:lineChart>
        <c:grouping val="standard"/>
        <c:varyColors val="0"/>
        <c:ser>
          <c:idx val="0"/>
          <c:order val="0"/>
          <c:spPr>
            <a:ln w="12700">
              <a:solidFill>
                <a:srgbClr val="000080"/>
              </a:solidFill>
              <a:prstDash val="solid"/>
            </a:ln>
          </c:spPr>
          <c:marker>
            <c:symbol val="diamond"/>
            <c:size val="5"/>
            <c:spPr>
              <a:solidFill>
                <a:srgbClr val="000080"/>
              </a:solidFill>
              <a:ln>
                <a:solidFill>
                  <a:srgbClr val="000080"/>
                </a:solidFill>
                <a:prstDash val="solid"/>
              </a:ln>
            </c:spPr>
          </c:marker>
          <c:dLbls>
            <c:dLbl>
              <c:idx val="1"/>
              <c:layout>
                <c:manualLayout>
                  <c:x val="-5.0773331696111083E-2"/>
                  <c:y val="-5.3854696734336779E-2"/>
                </c:manualLayout>
              </c:layout>
              <c:dLblPos val="r"/>
              <c:showLegendKey val="0"/>
              <c:showVal val="1"/>
              <c:showCatName val="0"/>
              <c:showSerName val="0"/>
              <c:showPercent val="0"/>
              <c:showBubbleSize val="0"/>
            </c:dLbl>
            <c:dLbl>
              <c:idx val="6"/>
              <c:layout>
                <c:manualLayout>
                  <c:x val="-2.7381518830614009E-2"/>
                  <c:y val="-4.4784401949756282E-2"/>
                </c:manualLayout>
              </c:layout>
              <c:dLblPos val="r"/>
              <c:showLegendKey val="0"/>
              <c:showVal val="1"/>
              <c:showCatName val="0"/>
              <c:showSerName val="0"/>
              <c:showPercent val="0"/>
              <c:showBubbleSize val="0"/>
            </c:dLbl>
            <c:dLbl>
              <c:idx val="7"/>
              <c:layout>
                <c:manualLayout>
                  <c:x val="-4.5575151059333956E-2"/>
                  <c:y val="3.6848251111468208E-2"/>
                </c:manualLayout>
              </c:layout>
              <c:dLblPos val="r"/>
              <c:showLegendKey val="0"/>
              <c:showVal val="1"/>
              <c:showCatName val="0"/>
              <c:showSerName val="0"/>
              <c:showPercent val="0"/>
              <c:showBubbleSize val="0"/>
            </c:dLbl>
            <c:dLbl>
              <c:idx val="8"/>
              <c:layout>
                <c:manualLayout>
                  <c:x val="-7.797270955165597E-3"/>
                  <c:y val="-1.3605442176870748E-2"/>
                </c:manualLayout>
              </c:layout>
              <c:dLblPos val="t"/>
              <c:showLegendKey val="0"/>
              <c:showVal val="1"/>
              <c:showCatName val="0"/>
              <c:showSerName val="0"/>
              <c:showPercent val="0"/>
              <c:showBubbleSize val="0"/>
            </c:dLbl>
            <c:dLbl>
              <c:idx val="9"/>
              <c:layout>
                <c:manualLayout>
                  <c:x val="-6.376878328805391E-2"/>
                  <c:y val="-4.4784401949756282E-2"/>
                </c:manualLayout>
              </c:layout>
              <c:dLblPos val="r"/>
              <c:showLegendKey val="0"/>
              <c:showVal val="1"/>
              <c:showCatName val="0"/>
              <c:showSerName val="0"/>
              <c:showPercent val="0"/>
              <c:showBubbleSize val="0"/>
            </c:dLbl>
            <c:dLbl>
              <c:idx val="10"/>
              <c:layout>
                <c:manualLayout>
                  <c:x val="-5.5971512332888211E-2"/>
                  <c:y val="-3.1178959772885532E-2"/>
                </c:manualLayout>
              </c:layout>
              <c:dLblPos val="r"/>
              <c:showLegendKey val="0"/>
              <c:showVal val="1"/>
              <c:showCatName val="0"/>
              <c:showSerName val="0"/>
              <c:showPercent val="0"/>
              <c:showBubbleSize val="0"/>
            </c:dLbl>
            <c:spPr>
              <a:noFill/>
              <a:ln w="25400">
                <a:noFill/>
              </a:ln>
            </c:spPr>
            <c:txPr>
              <a:bodyPr/>
              <a:lstStyle/>
              <a:p>
                <a:pPr>
                  <a:defRPr sz="500" b="0" i="0" u="none" strike="noStrike" baseline="0">
                    <a:solidFill>
                      <a:srgbClr val="000000"/>
                    </a:solidFill>
                    <a:latin typeface="Arial"/>
                    <a:ea typeface="Arial"/>
                    <a:cs typeface="Arial"/>
                  </a:defRPr>
                </a:pPr>
                <a:endParaRPr lang="es-MX"/>
              </a:p>
            </c:txPr>
            <c:dLblPos val="t"/>
            <c:showLegendKey val="0"/>
            <c:showVal val="1"/>
            <c:showCatName val="0"/>
            <c:showSerName val="0"/>
            <c:showPercent val="0"/>
            <c:showBubbleSize val="0"/>
            <c:showLeaderLines val="0"/>
          </c:dLbls>
          <c:cat>
            <c:strRef>
              <c:f>'DATOS Y GRÁFICO'!$A$4:$A$15</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'DATOS Y GRÁFICO'!$B$4:$B$15</c:f>
              <c:numCache>
                <c:formatCode>#,##0</c:formatCode>
                <c:ptCount val="12"/>
                <c:pt idx="0">
                  <c:v>128116</c:v>
                </c:pt>
                <c:pt idx="1">
                  <c:v>128777</c:v>
                </c:pt>
                <c:pt idx="2">
                  <c:v>128435</c:v>
                </c:pt>
                <c:pt idx="3">
                  <c:v>127537</c:v>
                </c:pt>
                <c:pt idx="4">
                  <c:v>127788</c:v>
                </c:pt>
                <c:pt idx="5">
                  <c:v>129752</c:v>
                </c:pt>
                <c:pt idx="6">
                  <c:v>126335</c:v>
                </c:pt>
                <c:pt idx="7">
                  <c:v>122479</c:v>
                </c:pt>
                <c:pt idx="8">
                  <c:v>126294</c:v>
                </c:pt>
                <c:pt idx="9">
                  <c:v>128941</c:v>
                </c:pt>
                <c:pt idx="10">
                  <c:v>131856</c:v>
                </c:pt>
                <c:pt idx="11">
                  <c:v>130439</c:v>
                </c:pt>
              </c:numCache>
            </c:numRef>
          </c:val>
          <c:smooth val="0"/>
        </c:ser>
        <c:dLbls>
          <c:showLegendKey val="0"/>
          <c:showVal val="1"/>
          <c:showCatName val="0"/>
          <c:showSerName val="0"/>
          <c:showPercent val="0"/>
          <c:showBubbleSize val="0"/>
        </c:dLbls>
        <c:marker val="1"/>
        <c:smooth val="0"/>
        <c:axId val="296244352"/>
        <c:axId val="296259584"/>
      </c:lineChart>
      <c:catAx>
        <c:axId val="296244352"/>
        <c:scaling>
          <c:orientation val="minMax"/>
        </c:scaling>
        <c:delete val="0"/>
        <c:axPos val="b"/>
        <c:numFmt formatCode="General" sourceLinked="1"/>
        <c:majorTickMark val="in"/>
        <c:minorTickMark val="in"/>
        <c:tickLblPos val="nextTo"/>
        <c:spPr>
          <a:ln w="3175">
            <a:solidFill>
              <a:srgbClr val="000080"/>
            </a:solidFill>
            <a:prstDash val="solid"/>
          </a:ln>
        </c:spPr>
        <c:txPr>
          <a:bodyPr rot="-2700000" vert="horz"/>
          <a:lstStyle/>
          <a:p>
            <a:pPr>
              <a:defRPr sz="800" b="0" i="0" u="none" strike="noStrike" baseline="0">
                <a:solidFill>
                  <a:srgbClr val="000000"/>
                </a:solidFill>
                <a:latin typeface="Arial"/>
                <a:ea typeface="Arial"/>
                <a:cs typeface="Arial"/>
              </a:defRPr>
            </a:pPr>
            <a:endParaRPr lang="es-MX"/>
          </a:p>
        </c:txPr>
        <c:crossAx val="296259584"/>
        <c:crosses val="autoZero"/>
        <c:auto val="1"/>
        <c:lblAlgn val="ctr"/>
        <c:lblOffset val="100"/>
        <c:tickLblSkip val="1"/>
        <c:tickMarkSkip val="1"/>
        <c:noMultiLvlLbl val="0"/>
      </c:catAx>
      <c:valAx>
        <c:axId val="296259584"/>
        <c:scaling>
          <c:orientation val="minMax"/>
          <c:min val="120000"/>
        </c:scaling>
        <c:delete val="0"/>
        <c:axPos val="l"/>
        <c:numFmt formatCode="#,##0" sourceLinked="1"/>
        <c:majorTickMark val="out"/>
        <c:minorTickMark val="none"/>
        <c:tickLblPos val="nextTo"/>
        <c:spPr>
          <a:ln w="3175">
            <a:solidFill>
              <a:srgbClr val="000080"/>
            </a:solidFill>
            <a:prstDash val="solid"/>
          </a:ln>
        </c:spPr>
        <c:txPr>
          <a:bodyPr rot="0" vert="horz"/>
          <a:lstStyle/>
          <a:p>
            <a:pPr>
              <a:defRPr sz="800" b="0" i="0" u="none" strike="noStrike" baseline="0">
                <a:solidFill>
                  <a:srgbClr val="000000"/>
                </a:solidFill>
                <a:latin typeface="Arial"/>
                <a:ea typeface="Arial"/>
                <a:cs typeface="Arial"/>
              </a:defRPr>
            </a:pPr>
            <a:endParaRPr lang="es-MX"/>
          </a:p>
        </c:txPr>
        <c:crossAx val="296244352"/>
        <c:crosses val="autoZero"/>
        <c:crossBetween val="between"/>
        <c:majorUnit val="1000"/>
      </c:valAx>
      <c:spPr>
        <a:noFill/>
        <a:ln w="25400">
          <a:noFill/>
        </a:ln>
      </c:spPr>
    </c:plotArea>
    <c:plotVisOnly val="1"/>
    <c:dispBlanksAs val="gap"/>
    <c:showDLblsOverMax val="0"/>
  </c:chart>
  <c:spPr>
    <a:solidFill>
      <a:srgbClr val="FFFFFF"/>
    </a:solidFill>
    <a:ln w="38100">
      <a:solidFill>
        <a:srgbClr val="000080"/>
      </a:solidFill>
      <a:prstDash val="solid"/>
    </a:ln>
  </c:spPr>
  <c:txPr>
    <a:bodyPr/>
    <a:lstStyle/>
    <a:p>
      <a:pPr>
        <a:defRPr sz="1000" b="0" i="0" u="none" strike="noStrike" baseline="0">
          <a:solidFill>
            <a:srgbClr val="000000"/>
          </a:solidFill>
          <a:latin typeface="Arial"/>
          <a:ea typeface="Arial"/>
          <a:cs typeface="Arial"/>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87CFD-5F7A-48A0-A09C-FB625EED5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6014</Words>
  <Characters>33080</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CIUDADANOS</vt:lpstr>
    </vt:vector>
  </TitlesOfParts>
  <Company>Dir. Gral. Administración</Company>
  <LinksUpToDate>false</LinksUpToDate>
  <CharactersWithSpaces>39016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CIUDADANOS</dc:title>
  <dc:creator>Departamento de Contabilidad General</dc:creator>
  <cp:lastModifiedBy>Jose Luis Rivera Hernandez</cp:lastModifiedBy>
  <cp:revision>3</cp:revision>
  <cp:lastPrinted>2016-04-07T00:11:00Z</cp:lastPrinted>
  <dcterms:created xsi:type="dcterms:W3CDTF">2016-04-08T21:05:00Z</dcterms:created>
  <dcterms:modified xsi:type="dcterms:W3CDTF">2016-04-08T21:08:00Z</dcterms:modified>
</cp:coreProperties>
</file>