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2F" w:rsidRDefault="00873D2F" w:rsidP="00B7275E">
      <w:pPr>
        <w:ind w:firstLine="709"/>
        <w:jc w:val="center"/>
        <w:rPr>
          <w:rFonts w:ascii="Arial Narrow" w:hAnsi="Arial Narrow"/>
          <w:b/>
          <w:bCs/>
          <w:sz w:val="144"/>
          <w:szCs w:val="144"/>
        </w:rPr>
      </w:pPr>
    </w:p>
    <w:p w:rsidR="00873D2F" w:rsidRDefault="00873D2F"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Pr="00B56316" w:rsidRDefault="00B7275E" w:rsidP="007E3960">
      <w:pPr>
        <w:pStyle w:val="Sangradetextonormal"/>
        <w:rPr>
          <w:rFonts w:ascii="Arial Narrow" w:hAnsi="Arial Narrow"/>
          <w:sz w:val="25"/>
        </w:rPr>
      </w:pPr>
    </w:p>
    <w:p w:rsidR="007E3960" w:rsidRPr="00D234E7" w:rsidRDefault="007E3960" w:rsidP="007E3960">
      <w:pPr>
        <w:spacing w:line="440" w:lineRule="exact"/>
        <w:ind w:firstLine="567"/>
        <w:jc w:val="both"/>
        <w:rPr>
          <w:rFonts w:ascii="Arial Narrow" w:hAnsi="Arial Narrow"/>
          <w:sz w:val="28"/>
          <w:szCs w:val="28"/>
        </w:rPr>
      </w:pPr>
      <w:r w:rsidRPr="00D234E7">
        <w:rPr>
          <w:rFonts w:ascii="Arial Narrow" w:hAnsi="Arial Narrow"/>
          <w:b/>
          <w:bCs/>
          <w:sz w:val="28"/>
          <w:szCs w:val="28"/>
        </w:rPr>
        <w:lastRenderedPageBreak/>
        <w:t>4.1.-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Muebles</w:t>
      </w:r>
      <w:r w:rsidR="00873D2F">
        <w:rPr>
          <w:rFonts w:ascii="Arial Narrow" w:hAnsi="Arial Narrow"/>
          <w:sz w:val="22"/>
          <w:szCs w:val="22"/>
        </w:rPr>
        <w:t xml:space="preserve"> correspondiente al Ejercicio Fiscal 2018</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7E3960" w:rsidP="007E3960">
      <w:pPr>
        <w:spacing w:line="440" w:lineRule="exact"/>
        <w:ind w:firstLine="567"/>
        <w:jc w:val="both"/>
        <w:rPr>
          <w:rFonts w:ascii="Arial Narrow" w:hAnsi="Arial Narrow"/>
          <w:sz w:val="28"/>
          <w:szCs w:val="28"/>
        </w:rPr>
      </w:pPr>
      <w:r w:rsidRPr="001C3A26">
        <w:rPr>
          <w:rFonts w:ascii="Arial Narrow" w:hAnsi="Arial Narrow"/>
          <w:b/>
          <w:bCs/>
          <w:sz w:val="28"/>
          <w:szCs w:val="28"/>
        </w:rPr>
        <w:t>4.</w:t>
      </w:r>
      <w:r>
        <w:rPr>
          <w:rFonts w:ascii="Arial Narrow" w:hAnsi="Arial Narrow"/>
          <w:b/>
          <w:bCs/>
          <w:sz w:val="28"/>
          <w:szCs w:val="28"/>
        </w:rPr>
        <w:t xml:space="preserve">2.- </w:t>
      </w:r>
      <w:r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Inmuebles</w:t>
      </w:r>
      <w:r w:rsidR="00873D2F">
        <w:rPr>
          <w:rFonts w:ascii="Arial Narrow" w:hAnsi="Arial Narrow"/>
          <w:sz w:val="22"/>
          <w:szCs w:val="22"/>
        </w:rPr>
        <w:t xml:space="preserve"> correspondiente al Ejercicio Fiscal 2018</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DF604B" w:rsidRDefault="00DF604B" w:rsidP="007E3960">
      <w:pPr>
        <w:pStyle w:val="Sangradetextonormal"/>
        <w:rPr>
          <w:rFonts w:ascii="Arial Narrow" w:hAnsi="Arial Narrow"/>
          <w:sz w:val="22"/>
          <w:szCs w:val="22"/>
        </w:rPr>
      </w:pPr>
    </w:p>
    <w:p w:rsidR="00DF604B" w:rsidRDefault="00DF604B" w:rsidP="007E3960">
      <w:pPr>
        <w:pStyle w:val="Sangradetextonormal"/>
        <w:rPr>
          <w:rFonts w:ascii="Arial Narrow" w:hAnsi="Arial Narrow"/>
          <w:b/>
          <w:bCs/>
          <w:szCs w:val="28"/>
        </w:rPr>
      </w:pPr>
      <w:r w:rsidRPr="001C3A26">
        <w:rPr>
          <w:rFonts w:ascii="Arial Narrow" w:hAnsi="Arial Narrow"/>
          <w:b/>
          <w:bCs/>
          <w:szCs w:val="28"/>
        </w:rPr>
        <w:t>4.</w:t>
      </w:r>
      <w:r>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xml:space="preserve">, la información de este apartado </w:t>
      </w:r>
      <w:r w:rsidR="00873D2F">
        <w:rPr>
          <w:rFonts w:ascii="Arial Narrow" w:hAnsi="Arial Narrow"/>
          <w:sz w:val="22"/>
          <w:szCs w:val="22"/>
        </w:rPr>
        <w:t xml:space="preserve">correspondiente al Ejercicio Fiscal 2018 </w:t>
      </w:r>
      <w:r>
        <w:rPr>
          <w:rFonts w:ascii="Arial Narrow" w:hAnsi="Arial Narrow"/>
          <w:sz w:val="22"/>
          <w:szCs w:val="22"/>
        </w:rPr>
        <w:t>se encuentra publicada en el portal de internet oficial de la Secretaría de Administración y Finanzas, dentro de la sección denominada “Armonización Contable”.</w:t>
      </w:r>
    </w:p>
    <w:p w:rsidR="007E3960" w:rsidRPr="00D234E7" w:rsidRDefault="00DF604B" w:rsidP="007E3960">
      <w:pPr>
        <w:pStyle w:val="Sangradetextonormal"/>
        <w:spacing w:line="240" w:lineRule="auto"/>
        <w:ind w:left="567" w:hanging="567"/>
        <w:rPr>
          <w:rFonts w:ascii="Arial Narrow" w:hAnsi="Arial Narrow"/>
          <w:b/>
          <w:bCs/>
          <w:szCs w:val="28"/>
        </w:rPr>
      </w:pPr>
      <w:r>
        <w:rPr>
          <w:rFonts w:ascii="Arial Narrow" w:hAnsi="Arial Narrow"/>
          <w:b/>
          <w:bCs/>
          <w:szCs w:val="28"/>
        </w:rPr>
        <w:lastRenderedPageBreak/>
        <w:t>4.4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554C20">
        <w:rPr>
          <w:rFonts w:ascii="Arial Narrow" w:hAnsi="Arial Narrow"/>
          <w:sz w:val="22"/>
          <w:szCs w:val="22"/>
        </w:rPr>
        <w:t>dientes al Ejercicio Fiscal 2018</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185D38" w:rsidP="007E3960">
      <w:pPr>
        <w:pStyle w:val="Texto"/>
        <w:spacing w:after="80"/>
        <w:ind w:firstLine="0"/>
        <w:rPr>
          <w:rFonts w:ascii="Abadi MT Condensed Light" w:hAnsi="Abadi MT Condensed Light"/>
          <w:sz w:val="25"/>
          <w:szCs w:val="24"/>
          <w:lang w:val="es-ES" w:eastAsia="es-ES"/>
        </w:rPr>
      </w:pPr>
      <w:r w:rsidRPr="00185D38">
        <w:rPr>
          <w:noProof/>
        </w:rPr>
        <w:lastRenderedPageBreak/>
        <w:drawing>
          <wp:anchor distT="0" distB="0" distL="114300" distR="114300" simplePos="0" relativeHeight="252498944" behindDoc="0" locked="0" layoutInCell="1" allowOverlap="1" wp14:anchorId="1FC3B88B" wp14:editId="328B8031">
            <wp:simplePos x="0" y="0"/>
            <wp:positionH relativeFrom="column">
              <wp:posOffset>320675</wp:posOffset>
            </wp:positionH>
            <wp:positionV relativeFrom="paragraph">
              <wp:posOffset>2832</wp:posOffset>
            </wp:positionV>
            <wp:extent cx="4919127" cy="6252519"/>
            <wp:effectExtent l="0" t="0" r="0" b="0"/>
            <wp:wrapNone/>
            <wp:docPr id="2528" name="Imagen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127" cy="6252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185D38" w:rsidP="007E3960">
      <w:pPr>
        <w:pStyle w:val="Texto"/>
        <w:spacing w:after="80"/>
        <w:ind w:firstLine="0"/>
        <w:rPr>
          <w:rFonts w:ascii="Abadi MT Condensed Light" w:hAnsi="Abadi MT Condensed Light"/>
          <w:sz w:val="25"/>
          <w:szCs w:val="24"/>
          <w:lang w:val="es-ES" w:eastAsia="es-ES"/>
        </w:rPr>
      </w:pPr>
      <w:r w:rsidRPr="00185D38">
        <w:rPr>
          <w:noProof/>
        </w:rPr>
        <w:lastRenderedPageBreak/>
        <w:drawing>
          <wp:anchor distT="0" distB="0" distL="114300" distR="114300" simplePos="0" relativeHeight="252499968" behindDoc="0" locked="0" layoutInCell="1" allowOverlap="1" wp14:anchorId="2CC1AD85" wp14:editId="1D2A995E">
            <wp:simplePos x="0" y="0"/>
            <wp:positionH relativeFrom="column">
              <wp:posOffset>476885</wp:posOffset>
            </wp:positionH>
            <wp:positionV relativeFrom="paragraph">
              <wp:posOffset>59707</wp:posOffset>
            </wp:positionV>
            <wp:extent cx="4722495" cy="6474460"/>
            <wp:effectExtent l="0" t="0" r="1905" b="2540"/>
            <wp:wrapNone/>
            <wp:docPr id="2529" name="Imagen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495" cy="647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DF604B"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4.5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574D66">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r w:rsidR="00574D66">
        <w:rPr>
          <w:rFonts w:ascii="Arial Narrow" w:hAnsi="Arial Narrow"/>
          <w:sz w:val="22"/>
          <w:szCs w:val="22"/>
        </w:rPr>
        <w:t xml:space="preserve">, comunicando </w:t>
      </w:r>
      <w:r w:rsidRPr="00D234E7">
        <w:rPr>
          <w:rFonts w:ascii="Arial Narrow" w:hAnsi="Arial Narrow"/>
          <w:sz w:val="22"/>
          <w:szCs w:val="22"/>
        </w:rPr>
        <w:t>que el Poder Ejecutivo del Estado de Na</w:t>
      </w:r>
      <w:r w:rsidR="00FB14A6">
        <w:rPr>
          <w:rFonts w:ascii="Arial Narrow" w:hAnsi="Arial Narrow"/>
          <w:sz w:val="22"/>
          <w:szCs w:val="22"/>
        </w:rPr>
        <w:t>yarit al 31 de Diciembre de 2017</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 xml:space="preserve">En el caso de Coberturas Financieras </w:t>
      </w:r>
      <w:r w:rsidR="00574D66">
        <w:rPr>
          <w:rFonts w:ascii="Arial Narrow" w:hAnsi="Arial Narrow"/>
          <w:sz w:val="22"/>
          <w:szCs w:val="22"/>
        </w:rPr>
        <w:t>se informa que como parte del proceso de reestructuración y/o refinanciamiento de la Deuda Pública autorizado por el H. Congreso del Estado</w:t>
      </w:r>
      <w:r w:rsidR="00304480">
        <w:rPr>
          <w:rFonts w:ascii="Arial Narrow" w:hAnsi="Arial Narrow"/>
          <w:sz w:val="22"/>
          <w:szCs w:val="22"/>
        </w:rPr>
        <w:t xml:space="preserve"> en el año 2018, las reservas de los nuevos financiamientos se encuentran constituidas en los Fideicomisos que para efecto de administración y fuente de pago se crearon en CI BANCO, S.A.</w:t>
      </w:r>
    </w:p>
    <w:p w:rsidR="007E3960" w:rsidRPr="0098491C" w:rsidRDefault="007E3960" w:rsidP="007E3960">
      <w:pPr>
        <w:pStyle w:val="Sangradetextonormal"/>
        <w:rPr>
          <w:rFonts w:ascii="Arial Narrow" w:hAnsi="Arial Narrow"/>
          <w:sz w:val="22"/>
          <w:szCs w:val="22"/>
        </w:rPr>
      </w:pPr>
    </w:p>
    <w:p w:rsidR="00037598" w:rsidRDefault="00304480" w:rsidP="00304480">
      <w:pPr>
        <w:pStyle w:val="Sangradetextonormal"/>
        <w:rPr>
          <w:rFonts w:ascii="Arial Narrow" w:hAnsi="Arial Narrow"/>
          <w:sz w:val="22"/>
          <w:szCs w:val="22"/>
        </w:rPr>
      </w:pPr>
      <w:r>
        <w:rPr>
          <w:rFonts w:ascii="Arial Narrow" w:hAnsi="Arial Narrow"/>
          <w:sz w:val="22"/>
          <w:szCs w:val="22"/>
        </w:rPr>
        <w:t>Así mismo</w:t>
      </w:r>
      <w:r w:rsidR="00185D38">
        <w:rPr>
          <w:rFonts w:ascii="Arial Narrow" w:hAnsi="Arial Narrow"/>
          <w:sz w:val="22"/>
          <w:szCs w:val="22"/>
        </w:rPr>
        <w:t xml:space="preserve">, </w:t>
      </w:r>
      <w:r>
        <w:rPr>
          <w:rFonts w:ascii="Arial Narrow" w:hAnsi="Arial Narrow"/>
          <w:sz w:val="22"/>
          <w:szCs w:val="22"/>
        </w:rPr>
        <w:t>en el manejo de la Deuda de Largo Plazo en administraciones anteriores,</w:t>
      </w:r>
      <w:r w:rsidR="007E3960" w:rsidRPr="0098491C">
        <w:rPr>
          <w:rFonts w:ascii="Arial Narrow" w:hAnsi="Arial Narrow"/>
          <w:sz w:val="22"/>
          <w:szCs w:val="22"/>
        </w:rPr>
        <w:t xml:space="preserve"> </w:t>
      </w:r>
      <w:r>
        <w:rPr>
          <w:rFonts w:ascii="Arial Narrow" w:hAnsi="Arial Narrow"/>
          <w:sz w:val="22"/>
          <w:szCs w:val="22"/>
        </w:rPr>
        <w:t xml:space="preserve">se contrató </w:t>
      </w:r>
      <w:r w:rsidR="007E3960" w:rsidRPr="0098491C">
        <w:rPr>
          <w:rFonts w:ascii="Arial Narrow" w:hAnsi="Arial Narrow"/>
          <w:sz w:val="22"/>
          <w:szCs w:val="22"/>
        </w:rPr>
        <w:t>un Instrumento de Soporte Crediticio (CAP)</w:t>
      </w:r>
      <w:r>
        <w:rPr>
          <w:rFonts w:ascii="Arial Narrow" w:hAnsi="Arial Narrow"/>
          <w:sz w:val="22"/>
          <w:szCs w:val="22"/>
        </w:rPr>
        <w:t xml:space="preserve"> y </w:t>
      </w:r>
      <w:r w:rsidR="0041741B">
        <w:rPr>
          <w:rFonts w:ascii="Arial Narrow" w:hAnsi="Arial Narrow"/>
          <w:sz w:val="22"/>
          <w:szCs w:val="22"/>
        </w:rPr>
        <w:t>un Derivado SWAP de Cobertura de Tasa de Interés, como sustento de dos créditos celebrados en BANORTE, S. A.</w:t>
      </w:r>
      <w:r>
        <w:rPr>
          <w:rFonts w:ascii="Arial Narrow" w:hAnsi="Arial Narrow"/>
          <w:sz w:val="22"/>
          <w:szCs w:val="22"/>
        </w:rPr>
        <w:t>, lo cual</w:t>
      </w:r>
      <w:r w:rsidR="00037598" w:rsidRPr="006E3914">
        <w:rPr>
          <w:rFonts w:ascii="Arial Narrow" w:hAnsi="Arial Narrow"/>
          <w:sz w:val="22"/>
          <w:szCs w:val="22"/>
        </w:rPr>
        <w:t xml:space="preserve"> </w:t>
      </w:r>
      <w:r w:rsidR="006E3914">
        <w:rPr>
          <w:rFonts w:ascii="Arial Narrow" w:hAnsi="Arial Narrow"/>
          <w:sz w:val="22"/>
          <w:szCs w:val="22"/>
        </w:rPr>
        <w:t xml:space="preserve">generó </w:t>
      </w:r>
      <w:r>
        <w:rPr>
          <w:rFonts w:ascii="Arial Narrow" w:hAnsi="Arial Narrow"/>
          <w:sz w:val="22"/>
          <w:szCs w:val="22"/>
        </w:rPr>
        <w:t xml:space="preserve">en 2018 </w:t>
      </w:r>
      <w:r w:rsidR="006E3914">
        <w:rPr>
          <w:rFonts w:ascii="Arial Narrow" w:hAnsi="Arial Narrow"/>
          <w:sz w:val="22"/>
          <w:szCs w:val="22"/>
        </w:rPr>
        <w:t>a favor del Estado de Nayarit</w:t>
      </w:r>
      <w:r w:rsidR="0041741B" w:rsidRPr="006E3914">
        <w:rPr>
          <w:rFonts w:ascii="Arial Narrow" w:hAnsi="Arial Narrow"/>
          <w:sz w:val="22"/>
          <w:szCs w:val="22"/>
        </w:rPr>
        <w:t xml:space="preserve"> por concepto de Coberturas</w:t>
      </w:r>
      <w:r w:rsidR="00815787" w:rsidRPr="006E3914">
        <w:rPr>
          <w:rFonts w:ascii="Arial Narrow" w:hAnsi="Arial Narrow"/>
          <w:sz w:val="22"/>
          <w:szCs w:val="22"/>
        </w:rPr>
        <w:t xml:space="preserve"> (Derivado SWAP)</w:t>
      </w:r>
      <w:r w:rsidR="00037598" w:rsidRPr="006E3914">
        <w:rPr>
          <w:rFonts w:ascii="Arial Narrow" w:hAnsi="Arial Narrow"/>
          <w:sz w:val="22"/>
          <w:szCs w:val="22"/>
        </w:rPr>
        <w:t xml:space="preserve"> un monto de </w:t>
      </w:r>
      <w:r>
        <w:rPr>
          <w:rFonts w:ascii="Arial Narrow" w:hAnsi="Arial Narrow"/>
          <w:sz w:val="22"/>
          <w:szCs w:val="22"/>
        </w:rPr>
        <w:t xml:space="preserve"> </w:t>
      </w:r>
      <w:r w:rsidR="00185D38">
        <w:rPr>
          <w:rFonts w:ascii="Arial Narrow" w:hAnsi="Arial Narrow"/>
          <w:sz w:val="22"/>
          <w:szCs w:val="22"/>
        </w:rPr>
        <w:t>$ 53,299,446.42</w:t>
      </w:r>
      <w:r w:rsidR="002A424B">
        <w:rPr>
          <w:rFonts w:ascii="Arial Narrow" w:hAnsi="Arial Narrow"/>
          <w:sz w:val="22"/>
          <w:szCs w:val="22"/>
        </w:rPr>
        <w:t xml:space="preserve"> (</w:t>
      </w:r>
      <w:r w:rsidR="00185D38">
        <w:rPr>
          <w:rFonts w:ascii="Arial Narrow" w:hAnsi="Arial Narrow"/>
          <w:sz w:val="22"/>
          <w:szCs w:val="22"/>
        </w:rPr>
        <w:t>cincuenta y tres millones doscientos noventa y nueve mil cuatrocientos cuarenta y seis pesos 4</w:t>
      </w:r>
      <w:r w:rsidR="002A424B">
        <w:rPr>
          <w:rFonts w:ascii="Arial Narrow" w:hAnsi="Arial Narrow"/>
          <w:sz w:val="22"/>
          <w:szCs w:val="22"/>
        </w:rPr>
        <w:t>2</w:t>
      </w:r>
      <w:r w:rsidR="00037598" w:rsidRPr="006E3914">
        <w:rPr>
          <w:rFonts w:ascii="Arial Narrow" w:hAnsi="Arial Narrow"/>
          <w:sz w:val="22"/>
          <w:szCs w:val="22"/>
        </w:rPr>
        <w:t xml:space="preserve">/100 m. n.), </w:t>
      </w:r>
      <w:r w:rsidR="00786399" w:rsidRPr="006E3914">
        <w:rPr>
          <w:rFonts w:ascii="Arial Narrow" w:hAnsi="Arial Narrow"/>
          <w:sz w:val="22"/>
          <w:szCs w:val="22"/>
        </w:rPr>
        <w:t xml:space="preserve">integrado </w:t>
      </w:r>
      <w:r w:rsidR="00037598" w:rsidRPr="006E3914">
        <w:rPr>
          <w:rFonts w:ascii="Arial Narrow" w:hAnsi="Arial Narrow"/>
          <w:sz w:val="22"/>
          <w:szCs w:val="22"/>
        </w:rPr>
        <w:t>de la siguiente manera:</w:t>
      </w:r>
    </w:p>
    <w:p w:rsidR="00037598" w:rsidRDefault="00185D38" w:rsidP="007E3960">
      <w:pPr>
        <w:pStyle w:val="Sangradetextonormal"/>
        <w:rPr>
          <w:rFonts w:ascii="Arial Narrow" w:hAnsi="Arial Narrow"/>
          <w:sz w:val="22"/>
          <w:szCs w:val="22"/>
        </w:rPr>
      </w:pPr>
      <w:r w:rsidRPr="00185D38">
        <w:rPr>
          <w:noProof/>
          <w:lang w:val="es-MX" w:eastAsia="es-MX"/>
        </w:rPr>
        <w:drawing>
          <wp:anchor distT="0" distB="0" distL="114300" distR="114300" simplePos="0" relativeHeight="252500992" behindDoc="0" locked="0" layoutInCell="1" allowOverlap="1" wp14:anchorId="064A5AA8" wp14:editId="6D8498A6">
            <wp:simplePos x="0" y="0"/>
            <wp:positionH relativeFrom="column">
              <wp:posOffset>1317728</wp:posOffset>
            </wp:positionH>
            <wp:positionV relativeFrom="paragraph">
              <wp:posOffset>81744</wp:posOffset>
            </wp:positionV>
            <wp:extent cx="3410585" cy="1095375"/>
            <wp:effectExtent l="0" t="0" r="0" b="9525"/>
            <wp:wrapNone/>
            <wp:docPr id="2530" name="Imagen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058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598" w:rsidRPr="00D234E7" w:rsidRDefault="00037598" w:rsidP="007E3960">
      <w:pPr>
        <w:pStyle w:val="Sangradetextonormal"/>
        <w:rPr>
          <w:rFonts w:ascii="Arial Narrow" w:hAnsi="Arial Narrow"/>
          <w:sz w:val="22"/>
          <w:szCs w:val="22"/>
        </w:rPr>
      </w:pPr>
    </w:p>
    <w:p w:rsidR="007E3960" w:rsidRPr="00B56316" w:rsidRDefault="007E3960" w:rsidP="007E3960">
      <w:pPr>
        <w:spacing w:line="440" w:lineRule="exact"/>
        <w:ind w:firstLine="720"/>
        <w:jc w:val="center"/>
        <w:rPr>
          <w:rFonts w:ascii="Arial Narrow" w:hAnsi="Arial Narrow"/>
          <w:sz w:val="25"/>
        </w:rPr>
      </w:pPr>
    </w:p>
    <w:p w:rsidR="007E3960" w:rsidRDefault="007E3960" w:rsidP="007E3960">
      <w:pPr>
        <w:spacing w:line="440" w:lineRule="exact"/>
        <w:ind w:firstLine="720"/>
        <w:jc w:val="center"/>
        <w:rPr>
          <w:rFonts w:ascii="Arial Narrow" w:hAnsi="Arial Narrow"/>
          <w:sz w:val="25"/>
        </w:rPr>
      </w:pPr>
    </w:p>
    <w:p w:rsidR="00304480" w:rsidRDefault="00304480" w:rsidP="007E3960">
      <w:pPr>
        <w:spacing w:line="440" w:lineRule="exact"/>
        <w:ind w:firstLine="720"/>
        <w:jc w:val="center"/>
        <w:rPr>
          <w:rFonts w:ascii="Arial Narrow" w:hAnsi="Arial Narrow"/>
          <w:sz w:val="25"/>
        </w:rPr>
      </w:pPr>
    </w:p>
    <w:p w:rsidR="000B76B8" w:rsidRDefault="000B76B8" w:rsidP="00304480">
      <w:pPr>
        <w:pStyle w:val="Sangradetextonormal"/>
        <w:spacing w:line="240" w:lineRule="auto"/>
        <w:ind w:left="425" w:hanging="425"/>
        <w:rPr>
          <w:rFonts w:ascii="Arial Narrow" w:hAnsi="Arial Narrow"/>
          <w:b/>
          <w:bCs/>
          <w:szCs w:val="28"/>
        </w:rPr>
      </w:pPr>
    </w:p>
    <w:p w:rsidR="000B76B8" w:rsidRPr="000B76B8" w:rsidRDefault="000B76B8" w:rsidP="00304480">
      <w:pPr>
        <w:pStyle w:val="Sangradetextonormal"/>
        <w:spacing w:line="240" w:lineRule="auto"/>
        <w:ind w:left="425" w:hanging="425"/>
        <w:rPr>
          <w:rFonts w:ascii="Arial Narrow" w:hAnsi="Arial Narrow"/>
          <w:b/>
          <w:bCs/>
          <w:sz w:val="2"/>
          <w:szCs w:val="28"/>
        </w:rPr>
      </w:pPr>
    </w:p>
    <w:p w:rsidR="00304480" w:rsidRPr="00D234E7" w:rsidRDefault="00304480" w:rsidP="00304480">
      <w:pPr>
        <w:pStyle w:val="Sangradetextonormal"/>
        <w:spacing w:line="240" w:lineRule="auto"/>
        <w:ind w:left="425" w:hanging="425"/>
        <w:rPr>
          <w:rFonts w:ascii="Arial Narrow" w:hAnsi="Arial Narrow"/>
          <w:b/>
          <w:bCs/>
          <w:szCs w:val="28"/>
        </w:rPr>
      </w:pPr>
      <w:r>
        <w:rPr>
          <w:rFonts w:ascii="Arial Narrow" w:hAnsi="Arial Narrow"/>
          <w:b/>
          <w:bCs/>
          <w:szCs w:val="28"/>
        </w:rPr>
        <w:t>4.6.- CIRCULARIZACIÓN DE SALDOS DE LA CUENTA DE DEUDORES DIVERSOS</w:t>
      </w:r>
    </w:p>
    <w:p w:rsidR="00304480" w:rsidRDefault="00304480" w:rsidP="007E3960">
      <w:pPr>
        <w:spacing w:line="440" w:lineRule="exact"/>
        <w:ind w:firstLine="720"/>
        <w:jc w:val="center"/>
        <w:rPr>
          <w:rFonts w:ascii="Arial Narrow" w:hAnsi="Arial Narrow"/>
          <w:sz w:val="25"/>
        </w:rPr>
      </w:pPr>
    </w:p>
    <w:p w:rsidR="00304480" w:rsidRPr="00D234E7" w:rsidRDefault="00304480" w:rsidP="00304480">
      <w:pPr>
        <w:pStyle w:val="Sangradetextonormal"/>
        <w:rPr>
          <w:rFonts w:ascii="Arial Narrow" w:hAnsi="Arial Narrow"/>
          <w:sz w:val="22"/>
          <w:szCs w:val="22"/>
        </w:rPr>
      </w:pPr>
      <w:r w:rsidRPr="00D234E7">
        <w:rPr>
          <w:rFonts w:ascii="Arial Narrow" w:hAnsi="Arial Narrow"/>
          <w:sz w:val="22"/>
          <w:szCs w:val="22"/>
        </w:rPr>
        <w:t xml:space="preserve">Este anexo se </w:t>
      </w:r>
      <w:r>
        <w:rPr>
          <w:rFonts w:ascii="Arial Narrow" w:hAnsi="Arial Narrow"/>
          <w:sz w:val="22"/>
          <w:szCs w:val="22"/>
        </w:rPr>
        <w:t xml:space="preserve">presenta en CD y está conformado por la documentación relacionada con las acciones ejecutadas por la Secretaría de Administración y Finanzas en materia de </w:t>
      </w:r>
      <w:proofErr w:type="spellStart"/>
      <w:r>
        <w:rPr>
          <w:rFonts w:ascii="Arial Narrow" w:hAnsi="Arial Narrow"/>
          <w:sz w:val="22"/>
          <w:szCs w:val="22"/>
        </w:rPr>
        <w:t>circularización</w:t>
      </w:r>
      <w:proofErr w:type="spellEnd"/>
      <w:r>
        <w:rPr>
          <w:rFonts w:ascii="Arial Narrow" w:hAnsi="Arial Narrow"/>
          <w:sz w:val="22"/>
          <w:szCs w:val="22"/>
        </w:rPr>
        <w:t xml:space="preserve"> de saldos de la cuenta de Deudores Diversos.</w:t>
      </w:r>
    </w:p>
    <w:p w:rsidR="002657D8" w:rsidRDefault="002657D8" w:rsidP="007E3960">
      <w:pPr>
        <w:spacing w:line="440" w:lineRule="exact"/>
        <w:ind w:firstLine="720"/>
        <w:jc w:val="center"/>
        <w:rPr>
          <w:rFonts w:ascii="Arial Narrow" w:hAnsi="Arial Narrow"/>
          <w:sz w:val="25"/>
        </w:rPr>
        <w:sectPr w:rsidR="002657D8" w:rsidSect="002657D8">
          <w:headerReference w:type="even" r:id="rId12"/>
          <w:headerReference w:type="default" r:id="rId13"/>
          <w:footerReference w:type="even" r:id="rId14"/>
          <w:footerReference w:type="default" r:id="rId15"/>
          <w:headerReference w:type="first" r:id="rId16"/>
          <w:pgSz w:w="12240" w:h="15840" w:code="119"/>
          <w:pgMar w:top="4536" w:right="1259" w:bottom="851" w:left="1985" w:header="720" w:footer="748" w:gutter="0"/>
          <w:pgNumType w:start="202"/>
          <w:cols w:space="720"/>
          <w:docGrid w:linePitch="326"/>
        </w:sectPr>
      </w:pPr>
    </w:p>
    <w:p w:rsidR="00304480" w:rsidRDefault="002657D8" w:rsidP="007E3960">
      <w:pPr>
        <w:spacing w:line="440" w:lineRule="exact"/>
        <w:ind w:firstLine="720"/>
        <w:jc w:val="center"/>
        <w:rPr>
          <w:rFonts w:ascii="Arial Narrow" w:hAnsi="Arial Narrow"/>
          <w:sz w:val="25"/>
        </w:rPr>
      </w:pPr>
      <w:bookmarkStart w:id="0" w:name="_GoBack"/>
      <w:bookmarkEnd w:id="0"/>
      <w:r>
        <w:rPr>
          <w:rFonts w:ascii="Arial Narrow" w:hAnsi="Arial Narrow"/>
          <w:noProof/>
          <w:sz w:val="25"/>
          <w:lang w:val="es-MX" w:eastAsia="es-MX"/>
        </w:rPr>
        <w:lastRenderedPageBreak/>
        <w:drawing>
          <wp:anchor distT="0" distB="0" distL="114300" distR="114300" simplePos="0" relativeHeight="252502016" behindDoc="0" locked="0" layoutInCell="0" allowOverlap="1">
            <wp:simplePos x="0" y="0"/>
            <wp:positionH relativeFrom="page">
              <wp:posOffset>387178</wp:posOffset>
            </wp:positionH>
            <wp:positionV relativeFrom="page">
              <wp:posOffset>172995</wp:posOffset>
            </wp:positionV>
            <wp:extent cx="7009200" cy="9734400"/>
            <wp:effectExtent l="95250" t="76200" r="96520" b="76835"/>
            <wp:wrapNone/>
            <wp:docPr id="2531" name="Imagen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l="5025" t="1704" r="4779" b="1515"/>
                    <a:stretch>
                      <a:fillRect/>
                    </a:stretch>
                  </pic:blipFill>
                  <pic:spPr bwMode="auto">
                    <a:xfrm rot="21540000">
                      <a:off x="0" y="0"/>
                      <a:ext cx="7009200" cy="973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4480" w:rsidSect="002657D8">
      <w:headerReference w:type="default" r:id="rId18"/>
      <w:footerReference w:type="default" r:id="rId19"/>
      <w:pgSz w:w="12240" w:h="15840" w:code="119"/>
      <w:pgMar w:top="4536" w:right="1259" w:bottom="851" w:left="1985" w:header="720" w:footer="748" w:gutter="0"/>
      <w:pgNumType w:start="20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28" w:rsidRDefault="00805328">
      <w:r>
        <w:separator/>
      </w:r>
    </w:p>
  </w:endnote>
  <w:endnote w:type="continuationSeparator" w:id="0">
    <w:p w:rsidR="00805328" w:rsidRDefault="0080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04AEC" w:rsidRDefault="00404A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452CA">
      <w:rPr>
        <w:rStyle w:val="Nmerodepgina"/>
        <w:noProof/>
      </w:rPr>
      <w:t>207</w:t>
    </w:r>
    <w:r>
      <w:rPr>
        <w:rStyle w:val="Nmerodepgina"/>
      </w:rPr>
      <w:fldChar w:fldCharType="end"/>
    </w:r>
  </w:p>
  <w:p w:rsidR="00404AEC" w:rsidRDefault="00404AEC">
    <w:pPr>
      <w:pStyle w:val="Piedepgina"/>
      <w:framePr w:wrap="around" w:vAnchor="text" w:hAnchor="margin" w:xAlign="center" w:y="1"/>
      <w:rPr>
        <w:rStyle w:val="Nmerodepgina"/>
      </w:rPr>
    </w:pPr>
  </w:p>
  <w:p w:rsidR="00404AEC" w:rsidRDefault="00404AEC">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Piedepgina"/>
      <w:framePr w:wrap="around" w:vAnchor="text" w:hAnchor="margin" w:xAlign="center" w:y="1"/>
      <w:jc w:val="center"/>
      <w:rPr>
        <w:rStyle w:val="Nmerodepgina"/>
      </w:rPr>
    </w:pPr>
  </w:p>
  <w:p w:rsidR="002657D8" w:rsidRDefault="002657D8">
    <w:pPr>
      <w:pStyle w:val="Piedepgina"/>
      <w:framePr w:wrap="around" w:vAnchor="text" w:hAnchor="margin" w:xAlign="center" w:y="1"/>
      <w:rPr>
        <w:rStyle w:val="Nmerodepgina"/>
      </w:rPr>
    </w:pPr>
  </w:p>
  <w:p w:rsidR="002657D8" w:rsidRDefault="002657D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28" w:rsidRDefault="00805328">
      <w:r>
        <w:separator/>
      </w:r>
    </w:p>
  </w:footnote>
  <w:footnote w:type="continuationSeparator" w:id="0">
    <w:p w:rsidR="00805328" w:rsidRDefault="0080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404AEC" w:rsidRDefault="00404A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Default="00404AEC">
    <w:pPr>
      <w:pStyle w:val="Encabezado"/>
      <w:framePr w:wrap="around" w:vAnchor="text" w:hAnchor="margin" w:xAlign="right" w:y="1"/>
      <w:rPr>
        <w:rStyle w:val="Nmerodepgina"/>
      </w:rPr>
    </w:pPr>
  </w:p>
  <w:p w:rsidR="00404AEC" w:rsidRDefault="00404AEC">
    <w:pPr>
      <w:pStyle w:val="Encabezado"/>
      <w:framePr w:wrap="around" w:vAnchor="text" w:hAnchor="margin" w:xAlign="center" w:y="1"/>
      <w:ind w:right="360"/>
      <w:rPr>
        <w:rStyle w:val="Nmerodepgina"/>
      </w:rPr>
    </w:pPr>
  </w:p>
  <w:p w:rsidR="00404AEC" w:rsidRDefault="00404AEC">
    <w:pPr>
      <w:pStyle w:val="Encabezado"/>
    </w:pPr>
    <w:r>
      <w:rPr>
        <w:noProof/>
        <w:lang w:val="es-MX" w:eastAsia="es-MX"/>
      </w:rPr>
      <mc:AlternateContent>
        <mc:Choice Requires="wpc">
          <w:drawing>
            <wp:anchor distT="0" distB="0" distL="114300" distR="114300" simplePos="0" relativeHeight="251656704" behindDoc="0" locked="0" layoutInCell="1" allowOverlap="1" wp14:anchorId="61D611FD" wp14:editId="6C7CF59E">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404AEC" w:rsidRDefault="00404AEC">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404AEC" w:rsidRDefault="00404AEC">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404AEC" w:rsidRDefault="00404AEC">
                      <w:r>
                        <w:rPr>
                          <w:rFonts w:ascii="Arial" w:hAnsi="Arial" w:cs="Arial"/>
                          <w:b/>
                          <w:bCs/>
                          <w:color w:val="1B795A"/>
                          <w:sz w:val="26"/>
                          <w:szCs w:val="26"/>
                          <w:lang w:val="en-US"/>
                        </w:rPr>
                        <w:t xml:space="preserve"> </w:t>
                      </w:r>
                    </w:p>
                  </w:txbxContent>
                </v:textbox>
              </v:rect>
            </v:group>
          </w:pict>
        </mc:Fallback>
      </mc:AlternateContent>
    </w:r>
  </w:p>
  <w:p w:rsidR="00404AEC" w:rsidRDefault="00404AEC">
    <w:pPr>
      <w:pStyle w:val="Encabezado"/>
    </w:pPr>
  </w:p>
  <w:p w:rsidR="00404AEC" w:rsidRDefault="00404AEC">
    <w:pPr>
      <w:pStyle w:val="Encabezado"/>
    </w:pPr>
  </w:p>
  <w:p w:rsidR="00404AEC" w:rsidRDefault="00404AEC">
    <w:pPr>
      <w:pStyle w:val="Encabezado"/>
    </w:pPr>
  </w:p>
  <w:p w:rsidR="00404AEC" w:rsidRDefault="00404A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C" w:rsidRPr="00B260DD" w:rsidRDefault="00404AEC">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10E79F05" wp14:editId="20CC3698">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55572C66" wp14:editId="0C4F3454">
              <wp:simplePos x="0" y="0"/>
              <wp:positionH relativeFrom="column">
                <wp:posOffset>-914400</wp:posOffset>
              </wp:positionH>
              <wp:positionV relativeFrom="paragraph">
                <wp:posOffset>25400</wp:posOffset>
              </wp:positionV>
              <wp:extent cx="1828800" cy="2387600"/>
              <wp:effectExtent l="0" t="0" r="0" b="0"/>
              <wp:wrapNone/>
              <wp:docPr id="2547"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sidP="00DD56B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Pr="003E42F8" w:rsidRDefault="00404AEC"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5"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3"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Pr="003E42F8" w:rsidRDefault="00404AEC"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26934" w:rsidRDefault="00E26934"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8" w:rsidRDefault="002657D8">
    <w:pPr>
      <w:pStyle w:val="Encabezado"/>
      <w:framePr w:wrap="around" w:vAnchor="text" w:hAnchor="margin" w:xAlign="right" w:y="1"/>
      <w:rPr>
        <w:rStyle w:val="Nmerodepgina"/>
      </w:rPr>
    </w:pPr>
  </w:p>
  <w:p w:rsidR="002657D8" w:rsidRDefault="002657D8">
    <w:pPr>
      <w:pStyle w:val="Encabezado"/>
      <w:framePr w:wrap="around" w:vAnchor="text" w:hAnchor="margin" w:xAlign="center" w:y="1"/>
      <w:ind w:right="360"/>
      <w:rPr>
        <w:rStyle w:val="Nmerodepgina"/>
      </w:rPr>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57D8"/>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89"/>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349B"/>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328"/>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2CA"/>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4E8"/>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AEC"/>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13F2-D580-4372-8BDA-B98643F7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804</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cp:revision>
  <cp:lastPrinted>2019-04-07T21:29:00Z</cp:lastPrinted>
  <dcterms:created xsi:type="dcterms:W3CDTF">2019-05-10T02:16:00Z</dcterms:created>
  <dcterms:modified xsi:type="dcterms:W3CDTF">2019-05-10T02:38:00Z</dcterms:modified>
</cp:coreProperties>
</file>